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1229" w14:textId="694D72A9" w:rsidR="00D55A17" w:rsidRDefault="006A7BC7" w:rsidP="00005427">
      <w:pPr>
        <w:pStyle w:val="EPMPageTitle"/>
      </w:pPr>
      <w:bookmarkStart w:id="0" w:name="_Toc131604218"/>
      <w:r w:rsidRPr="00BA2D0A">
        <w:rPr>
          <w:noProof/>
        </w:rPr>
        <w:drawing>
          <wp:anchor distT="0" distB="0" distL="114300" distR="114300" simplePos="0" relativeHeight="251658240" behindDoc="1" locked="0" layoutInCell="1" allowOverlap="1" wp14:anchorId="1BE17FA2" wp14:editId="1A04E571">
            <wp:simplePos x="0" y="0"/>
            <wp:positionH relativeFrom="page">
              <wp:posOffset>11430</wp:posOffset>
            </wp:positionH>
            <wp:positionV relativeFrom="page">
              <wp:posOffset>485775</wp:posOffset>
            </wp:positionV>
            <wp:extent cx="7556853" cy="10681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007E7572" w:rsidRPr="00BA2D0A">
        <w:rPr>
          <w:noProof/>
        </w:rPr>
        <w:drawing>
          <wp:anchor distT="0" distB="0" distL="114300" distR="114300" simplePos="0" relativeHeight="251658242" behindDoc="0" locked="0" layoutInCell="1" allowOverlap="1" wp14:anchorId="729481CC" wp14:editId="0958501A">
            <wp:simplePos x="0" y="0"/>
            <wp:positionH relativeFrom="column">
              <wp:posOffset>4698365</wp:posOffset>
            </wp:positionH>
            <wp:positionV relativeFrom="paragraph">
              <wp:posOffset>-1320960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D55A17" w:rsidRPr="00BA2D0A">
        <w:rPr>
          <w:noProof/>
        </w:rPr>
        <mc:AlternateContent>
          <mc:Choice Requires="wps">
            <w:drawing>
              <wp:anchor distT="0" distB="0" distL="114300" distR="114300" simplePos="0" relativeHeight="251658241" behindDoc="0" locked="0" layoutInCell="1" allowOverlap="1" wp14:anchorId="1733DEF0" wp14:editId="1246E365">
                <wp:simplePos x="0" y="0"/>
                <wp:positionH relativeFrom="page">
                  <wp:posOffset>-723900</wp:posOffset>
                </wp:positionH>
                <wp:positionV relativeFrom="paragraph">
                  <wp:posOffset>-130138</wp:posOffset>
                </wp:positionV>
                <wp:extent cx="1440000" cy="720000"/>
                <wp:effectExtent l="4445" t="0" r="0" b="0"/>
                <wp:wrapNone/>
                <wp:docPr id="8" name="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F94D8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 o:spid="_x0000_s1026" type="#_x0000_t5" style="position:absolute;margin-left:-57pt;margin-top:-10.25pt;width:113.4pt;height:56.7pt;rotation:90;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" fillcolor="#a31457" stroked="f" strokeweight="1pt">
                <v:textbox inset="0,0,0,0"/>
                <w10:wrap anchorx="page"/>
              </v:shape>
            </w:pict>
          </mc:Fallback>
        </mc:AlternateContent>
      </w:r>
      <w:bookmarkEnd w:id="0"/>
      <w:r w:rsidR="00CD2103">
        <w:t>Becoming an Academy</w:t>
      </w:r>
      <w:r w:rsidR="001F1A2A">
        <w:t>,</w:t>
      </w:r>
      <w:r w:rsidR="00CD2103">
        <w:t xml:space="preserve"> Establishing or Expanding a Multi-Academy Trust</w:t>
      </w:r>
    </w:p>
    <w:p w14:paraId="2E7D5885" w14:textId="6E225AC9" w:rsidR="00D55A17" w:rsidRPr="007E7572" w:rsidRDefault="00D55A17" w:rsidP="00BA2D0A">
      <w:pPr>
        <w:pStyle w:val="EPMPageHeading"/>
      </w:pPr>
    </w:p>
    <w:p w14:paraId="331A6A20" w14:textId="5A815ECC" w:rsidR="00D55A17" w:rsidRPr="007E7572" w:rsidRDefault="00D55A17" w:rsidP="00BA2D0A">
      <w:pPr>
        <w:pStyle w:val="EPMPageHeading"/>
        <w:sectPr w:rsidR="00D55A17" w:rsidRPr="007E7572" w:rsidSect="00666C8A">
          <w:footerReference w:type="default" r:id="rId13"/>
          <w:pgSz w:w="11906" w:h="16838"/>
          <w:pgMar w:top="2842" w:right="1021" w:bottom="851" w:left="1021" w:header="709" w:footer="544" w:gutter="0"/>
          <w:cols w:space="708"/>
          <w:docGrid w:linePitch="360"/>
        </w:sectPr>
      </w:pPr>
    </w:p>
    <w:p w14:paraId="480B8EA5" w14:textId="5B349A28" w:rsidR="00DD7009" w:rsidRDefault="001F1A2A" w:rsidP="00DD7009">
      <w:pPr>
        <w:pStyle w:val="EPMPageHeading"/>
      </w:pPr>
      <w:r>
        <w:lastRenderedPageBreak/>
        <w:t xml:space="preserve">Becoming an Academy, Establishing or Expanding a </w:t>
      </w:r>
      <w:proofErr w:type="spellStart"/>
      <w:r>
        <w:t>Milti</w:t>
      </w:r>
      <w:proofErr w:type="spellEnd"/>
      <w:r>
        <w:t>-Academy Trust</w:t>
      </w:r>
    </w:p>
    <w:p w14:paraId="3B7E4B53" w14:textId="77777777" w:rsidR="004B29BE" w:rsidRDefault="004B29BE" w:rsidP="004B29BE">
      <w:pPr>
        <w:pStyle w:val="EPMSubheading"/>
      </w:pPr>
      <w:r>
        <w:t>Scope</w:t>
      </w:r>
    </w:p>
    <w:p w14:paraId="771C8518" w14:textId="77777777" w:rsidR="004B29BE" w:rsidRDefault="004B29BE" w:rsidP="004B29BE">
      <w:pPr>
        <w:pStyle w:val="EPMTextstyle"/>
      </w:pPr>
      <w:r>
        <w:t xml:space="preserve">This guide is a summary of the key HR responsibilities, implications and processes involved in becoming an Academy, </w:t>
      </w:r>
      <w:proofErr w:type="gramStart"/>
      <w:r>
        <w:t>establishing</w:t>
      </w:r>
      <w:proofErr w:type="gramEnd"/>
      <w:r>
        <w:t xml:space="preserve"> or expanding a Multi-Academy Trust (MAT) i.e.:</w:t>
      </w:r>
    </w:p>
    <w:p w14:paraId="1C2AD0AC" w14:textId="68B4FEBA" w:rsidR="004B29BE" w:rsidRDefault="004B29BE" w:rsidP="004B29BE">
      <w:pPr>
        <w:pStyle w:val="EPMBullets"/>
      </w:pPr>
      <w:r>
        <w:t xml:space="preserve">A Local Authority (LA) School converting to a stand-alone Academy (with or without a sponsor). </w:t>
      </w:r>
    </w:p>
    <w:p w14:paraId="31942024" w14:textId="5F074DE6" w:rsidR="004B29BE" w:rsidRDefault="004B29BE" w:rsidP="004B29BE">
      <w:pPr>
        <w:pStyle w:val="EPMBullets"/>
      </w:pPr>
      <w:r>
        <w:t xml:space="preserve">Establishing a MAT. </w:t>
      </w:r>
    </w:p>
    <w:p w14:paraId="1AA1CDC3" w14:textId="74CFEE66" w:rsidR="004B29BE" w:rsidRDefault="004B29BE" w:rsidP="004B29BE">
      <w:pPr>
        <w:pStyle w:val="EPMBullets"/>
      </w:pPr>
      <w:r>
        <w:t xml:space="preserve">MATs expanding to include more </w:t>
      </w:r>
      <w:proofErr w:type="gramStart"/>
      <w:r>
        <w:t>Schools</w:t>
      </w:r>
      <w:proofErr w:type="gramEnd"/>
    </w:p>
    <w:p w14:paraId="0C0AC56E" w14:textId="6D53FAE8" w:rsidR="001F1A2A" w:rsidRDefault="004B29BE" w:rsidP="004B29BE">
      <w:pPr>
        <w:pStyle w:val="EPMTextstyle"/>
      </w:pPr>
      <w:r>
        <w:t>This summary guide covers the relevant education and employment legislation as well as the practical aspects of Academy conversion or MAT expansion. The DfE Convert to an academy: guide for schools is essential reading. For specific advice please contact EPM. This HR guide deals solely with the legal framework and responsibilities and liabilities for the employer in relation to staff, and the protection for employees.</w:t>
      </w:r>
    </w:p>
    <w:p w14:paraId="28A11266" w14:textId="743A267E" w:rsidR="00A675C2" w:rsidRDefault="00A675C2" w:rsidP="0050036F">
      <w:pPr>
        <w:pStyle w:val="EPMNumberedHeading"/>
      </w:pPr>
      <w:r>
        <w:t>Employment Law</w:t>
      </w:r>
    </w:p>
    <w:p w14:paraId="464BA58D" w14:textId="77777777" w:rsidR="00A675C2" w:rsidRDefault="00A675C2" w:rsidP="0050036F">
      <w:pPr>
        <w:pStyle w:val="EPMTextstyle"/>
        <w:tabs>
          <w:tab w:val="clear" w:pos="567"/>
          <w:tab w:val="left" w:pos="709"/>
        </w:tabs>
        <w:ind w:left="709"/>
      </w:pPr>
      <w:r>
        <w:t xml:space="preserve">The Transfer of Undertakings (Protection of Employment) Regulations 2006 (as amended) (TUPE) places rights, </w:t>
      </w:r>
      <w:proofErr w:type="gramStart"/>
      <w:r>
        <w:t>responsibilities</w:t>
      </w:r>
      <w:proofErr w:type="gramEnd"/>
      <w:r>
        <w:t xml:space="preserve"> and liabilities on both the old and new employers, as well as providing protection for employees during and after the process of becoming an Academy or joining a MAT.</w:t>
      </w:r>
    </w:p>
    <w:p w14:paraId="49CD81CE" w14:textId="101461F8" w:rsidR="004B29BE" w:rsidRDefault="00A675C2" w:rsidP="0050036F">
      <w:pPr>
        <w:pStyle w:val="EPMTextstyle"/>
        <w:tabs>
          <w:tab w:val="clear" w:pos="567"/>
          <w:tab w:val="left" w:pos="709"/>
        </w:tabs>
        <w:ind w:left="709"/>
      </w:pPr>
      <w:r>
        <w:t>Essentially, there are two parties to the transfer process:</w:t>
      </w:r>
    </w:p>
    <w:p w14:paraId="305C3345" w14:textId="77777777" w:rsidR="0050036F" w:rsidRDefault="0050036F" w:rsidP="0050036F">
      <w:pPr>
        <w:pStyle w:val="EPMBullets"/>
        <w:tabs>
          <w:tab w:val="clear" w:pos="851"/>
        </w:tabs>
        <w:ind w:left="993" w:hanging="284"/>
      </w:pPr>
      <w:r>
        <w:t xml:space="preserve">Transferor: the current employer (LA, governing </w:t>
      </w:r>
      <w:proofErr w:type="gramStart"/>
      <w:r>
        <w:t>body</w:t>
      </w:r>
      <w:proofErr w:type="gramEnd"/>
      <w:r>
        <w:t xml:space="preserve"> or MAT) </w:t>
      </w:r>
    </w:p>
    <w:p w14:paraId="5C27A41F" w14:textId="77777777" w:rsidR="0050036F" w:rsidRDefault="0050036F" w:rsidP="0050036F">
      <w:pPr>
        <w:pStyle w:val="EPMBullets"/>
        <w:tabs>
          <w:tab w:val="clear" w:pos="851"/>
        </w:tabs>
        <w:ind w:left="993" w:hanging="284"/>
      </w:pPr>
      <w:r>
        <w:t xml:space="preserve">Transferee: the new employer (the academy trust or MAT) </w:t>
      </w:r>
    </w:p>
    <w:p w14:paraId="77D03318" w14:textId="77777777" w:rsidR="0050036F" w:rsidRDefault="0050036F" w:rsidP="0050036F">
      <w:pPr>
        <w:pStyle w:val="EPMBullets"/>
        <w:tabs>
          <w:tab w:val="clear" w:pos="851"/>
        </w:tabs>
        <w:ind w:left="993" w:hanging="284"/>
      </w:pPr>
      <w:r>
        <w:t>In summary TUPE:</w:t>
      </w:r>
    </w:p>
    <w:p w14:paraId="094506E6" w14:textId="77777777" w:rsidR="0050036F" w:rsidRDefault="0050036F" w:rsidP="0050036F">
      <w:pPr>
        <w:pStyle w:val="EPMBullets"/>
        <w:tabs>
          <w:tab w:val="clear" w:pos="851"/>
        </w:tabs>
        <w:ind w:left="993" w:hanging="284"/>
      </w:pPr>
      <w:r>
        <w:t xml:space="preserve">Automatically transfers all rights and liabilities in relation to each employee from the current employer (“the transferor”) to the new employer (“the transferee”). </w:t>
      </w:r>
    </w:p>
    <w:p w14:paraId="38265DAD" w14:textId="77777777" w:rsidR="0050036F" w:rsidRDefault="0050036F" w:rsidP="0050036F">
      <w:pPr>
        <w:pStyle w:val="EPMBullets"/>
        <w:tabs>
          <w:tab w:val="clear" w:pos="851"/>
        </w:tabs>
        <w:ind w:left="993" w:hanging="284"/>
      </w:pPr>
      <w:r>
        <w:t xml:space="preserve">Imposes an obligation on the current employer (“the transferor”) to provide data relating to the transferring employees to the new employer (“the transferee”) in the form of prescribed Employer Liability Information (ELI) and wider due diligence if requested, at least 28 days prior to the transfer. </w:t>
      </w:r>
    </w:p>
    <w:p w14:paraId="32E49190" w14:textId="77777777" w:rsidR="0050036F" w:rsidRDefault="0050036F" w:rsidP="0050036F">
      <w:pPr>
        <w:pStyle w:val="EPMBullets"/>
        <w:tabs>
          <w:tab w:val="clear" w:pos="851"/>
        </w:tabs>
        <w:ind w:left="993" w:hanging="284"/>
      </w:pPr>
      <w:r>
        <w:t xml:space="preserve">Imposes an obligation on both parties to inform and consult with employee representatives about the transfer and any measurers (being any ‘action, step or arrangement’) – [TUPE reg. 13 and 14]. </w:t>
      </w:r>
    </w:p>
    <w:p w14:paraId="05B10161" w14:textId="77777777" w:rsidR="0050036F" w:rsidRDefault="0050036F" w:rsidP="0050036F">
      <w:pPr>
        <w:pStyle w:val="EPMBullets"/>
        <w:tabs>
          <w:tab w:val="clear" w:pos="851"/>
        </w:tabs>
        <w:ind w:left="993" w:hanging="284"/>
      </w:pPr>
      <w:r>
        <w:t xml:space="preserve">Protects an employee’s terms and conditions of service, their continuity of service and against dismissal. </w:t>
      </w:r>
    </w:p>
    <w:p w14:paraId="78FF10E7" w14:textId="78F751A2" w:rsidR="00A675C2" w:rsidRPr="00DE30A3" w:rsidRDefault="00A6513C" w:rsidP="009D62C5">
      <w:pPr>
        <w:pStyle w:val="EPMTextstyle"/>
        <w:ind w:left="709"/>
      </w:pPr>
      <w:r w:rsidRPr="00A6513C">
        <w:t xml:space="preserve">Although the concept of TUPE is straightforward, the practicalities can be complex, and it is important that the transferee (new employer) follows the process carefully </w:t>
      </w:r>
      <w:proofErr w:type="gramStart"/>
      <w:r w:rsidRPr="00A6513C">
        <w:t>in order to</w:t>
      </w:r>
      <w:proofErr w:type="gramEnd"/>
      <w:r w:rsidRPr="00A6513C">
        <w:t xml:space="preserve"> minimise the risk of exposure to legal claims from employees</w:t>
      </w:r>
      <w:r>
        <w:t>.</w:t>
      </w:r>
    </w:p>
    <w:p w14:paraId="228CB34B" w14:textId="77777777" w:rsidR="00E30D8B" w:rsidRDefault="00E30D8B" w:rsidP="001F1A2A">
      <w:pPr>
        <w:pStyle w:val="EPMBullets"/>
        <w:numPr>
          <w:ilvl w:val="0"/>
          <w:numId w:val="0"/>
        </w:numPr>
        <w:ind w:left="720" w:hanging="720"/>
        <w:sectPr w:rsidR="00E30D8B" w:rsidSect="00B3029C">
          <w:headerReference w:type="default" r:id="rId14"/>
          <w:footerReference w:type="default" r:id="rId15"/>
          <w:pgSz w:w="11906" w:h="16838"/>
          <w:pgMar w:top="1695" w:right="1021" w:bottom="851" w:left="1021" w:header="709" w:footer="544" w:gutter="0"/>
          <w:pgNumType w:start="1"/>
          <w:cols w:space="708"/>
          <w:docGrid w:linePitch="360"/>
        </w:sectPr>
      </w:pPr>
    </w:p>
    <w:p w14:paraId="7D197CF7" w14:textId="0B642DE3" w:rsidR="005433E4" w:rsidRDefault="005433E4" w:rsidP="005433E4">
      <w:pPr>
        <w:pStyle w:val="EPMNumberedHeading"/>
      </w:pPr>
      <w:r>
        <w:t>Process: A Practical Guide</w:t>
      </w:r>
    </w:p>
    <w:p w14:paraId="55DC1075" w14:textId="77777777" w:rsidR="005433E4" w:rsidRDefault="005433E4" w:rsidP="005433E4">
      <w:pPr>
        <w:pStyle w:val="EPMTextstyle"/>
        <w:ind w:left="709"/>
      </w:pPr>
      <w:r>
        <w:t>The TUPE obligations on the academy process can be simplified into the following steps:</w:t>
      </w:r>
    </w:p>
    <w:p w14:paraId="767034BD" w14:textId="77777777" w:rsidR="005433E4" w:rsidRDefault="005433E4" w:rsidP="005433E4">
      <w:pPr>
        <w:pStyle w:val="EPMTextstyle"/>
        <w:ind w:left="709"/>
      </w:pPr>
      <w:r w:rsidRPr="00755DB9">
        <w:rPr>
          <w:b/>
          <w:bCs/>
        </w:rPr>
        <w:t>The TUP Step 1</w:t>
      </w:r>
      <w:r>
        <w:t xml:space="preserve"> – Inform and </w:t>
      </w:r>
      <w:proofErr w:type="gramStart"/>
      <w:r>
        <w:t>consult</w:t>
      </w:r>
      <w:proofErr w:type="gramEnd"/>
    </w:p>
    <w:p w14:paraId="49A42780" w14:textId="77777777" w:rsidR="005433E4" w:rsidRDefault="005433E4" w:rsidP="005433E4">
      <w:pPr>
        <w:pStyle w:val="EPMTextstyle"/>
        <w:ind w:left="709"/>
      </w:pPr>
      <w:r>
        <w:t>TUPE places an obligation upon the transferor and transferee to inform and consult with the ‘appropriate representatives’ of their employees who may be affected by the transfer regarding certain prescribed information (see below). Where the employer recognises trade unions in respect of all the affected employees, the ‘appropriate representatives’ will be representatives of the recognised trade unions for this purpose. The obligation has no time limit but needs to be undertaken early enough before the proposed transfer to make it effective.</w:t>
      </w:r>
    </w:p>
    <w:p w14:paraId="36FF0DED" w14:textId="398C489F" w:rsidR="00DD7009" w:rsidRDefault="005433E4" w:rsidP="005433E4">
      <w:pPr>
        <w:pStyle w:val="EPMTextstyle"/>
        <w:ind w:left="709"/>
      </w:pPr>
      <w:r>
        <w:t>Trade union representatives must be informed of the following information:</w:t>
      </w:r>
    </w:p>
    <w:p w14:paraId="1A6805B7" w14:textId="77777777" w:rsidR="00B82A2A" w:rsidRDefault="00B82A2A" w:rsidP="00B82A2A">
      <w:pPr>
        <w:pStyle w:val="EPMBullets"/>
        <w:tabs>
          <w:tab w:val="clear" w:pos="851"/>
        </w:tabs>
        <w:ind w:left="993" w:hanging="284"/>
      </w:pPr>
      <w:r>
        <w:t xml:space="preserve">The fact that the transfer of employer is to take </w:t>
      </w:r>
      <w:proofErr w:type="gramStart"/>
      <w:r>
        <w:t>place;</w:t>
      </w:r>
      <w:proofErr w:type="gramEnd"/>
      <w:r>
        <w:t xml:space="preserve"> </w:t>
      </w:r>
    </w:p>
    <w:p w14:paraId="23AFF4DB" w14:textId="77777777" w:rsidR="00B82A2A" w:rsidRDefault="00B82A2A" w:rsidP="00B82A2A">
      <w:pPr>
        <w:pStyle w:val="EPMBullets"/>
        <w:tabs>
          <w:tab w:val="clear" w:pos="851"/>
        </w:tabs>
        <w:ind w:left="993" w:hanging="284"/>
      </w:pPr>
      <w:r>
        <w:t xml:space="preserve">The approximate date of the proposed transfer of </w:t>
      </w:r>
      <w:proofErr w:type="gramStart"/>
      <w:r>
        <w:t>employer;</w:t>
      </w:r>
      <w:proofErr w:type="gramEnd"/>
      <w:r>
        <w:t xml:space="preserve"> </w:t>
      </w:r>
    </w:p>
    <w:p w14:paraId="305131F4" w14:textId="77777777" w:rsidR="00B82A2A" w:rsidRDefault="00B82A2A" w:rsidP="00B82A2A">
      <w:pPr>
        <w:pStyle w:val="EPMBullets"/>
        <w:tabs>
          <w:tab w:val="clear" w:pos="851"/>
        </w:tabs>
        <w:ind w:left="993" w:hanging="284"/>
      </w:pPr>
      <w:r>
        <w:t xml:space="preserve">The reason for the proposed transfer of </w:t>
      </w:r>
      <w:proofErr w:type="gramStart"/>
      <w:r>
        <w:t>employer;</w:t>
      </w:r>
      <w:proofErr w:type="gramEnd"/>
      <w:r>
        <w:t xml:space="preserve"> </w:t>
      </w:r>
    </w:p>
    <w:p w14:paraId="35F6208D" w14:textId="77777777" w:rsidR="00B82A2A" w:rsidRDefault="00B82A2A" w:rsidP="00B82A2A">
      <w:pPr>
        <w:pStyle w:val="EPMBullets"/>
        <w:tabs>
          <w:tab w:val="clear" w:pos="851"/>
        </w:tabs>
        <w:ind w:left="993" w:hanging="284"/>
      </w:pPr>
      <w:r>
        <w:t xml:space="preserve">Any legal, economic and social implications of the transfer of employer for the affected </w:t>
      </w:r>
      <w:proofErr w:type="gramStart"/>
      <w:r>
        <w:t>employees;</w:t>
      </w:r>
      <w:proofErr w:type="gramEnd"/>
      <w:r>
        <w:t xml:space="preserve"> </w:t>
      </w:r>
    </w:p>
    <w:p w14:paraId="3E4BA2EE" w14:textId="77777777" w:rsidR="00B82A2A" w:rsidRDefault="00B82A2A" w:rsidP="00B82A2A">
      <w:pPr>
        <w:pStyle w:val="EPMBullets"/>
        <w:tabs>
          <w:tab w:val="clear" w:pos="851"/>
        </w:tabs>
        <w:ind w:left="993" w:hanging="284"/>
      </w:pPr>
      <w:r>
        <w:t xml:space="preserve">The proposed transfer would affect all permanent employees, or employees engaged on fixed-term contracts, where the end date extends beyond [date before the transfer date] who are currently employed by the </w:t>
      </w:r>
      <w:proofErr w:type="gramStart"/>
      <w:r>
        <w:t>transferor;</w:t>
      </w:r>
      <w:proofErr w:type="gramEnd"/>
      <w:r>
        <w:t xml:space="preserve"> </w:t>
      </w:r>
    </w:p>
    <w:p w14:paraId="76B658E7" w14:textId="77777777" w:rsidR="00B82A2A" w:rsidRDefault="00B82A2A" w:rsidP="00B82A2A">
      <w:pPr>
        <w:pStyle w:val="EPMBullets"/>
        <w:tabs>
          <w:tab w:val="clear" w:pos="851"/>
        </w:tabs>
        <w:ind w:left="993" w:hanging="284"/>
      </w:pPr>
      <w:r>
        <w:t xml:space="preserve">If any agency workers are used, how many the School or Academy is using, in which parts of the undertaking they are working and the types of work they are carrying </w:t>
      </w:r>
      <w:proofErr w:type="gramStart"/>
      <w:r>
        <w:t>out;</w:t>
      </w:r>
      <w:proofErr w:type="gramEnd"/>
    </w:p>
    <w:p w14:paraId="4C7D8AF5" w14:textId="77777777" w:rsidR="00B82A2A" w:rsidRDefault="00B82A2A" w:rsidP="00B82A2A">
      <w:pPr>
        <w:pStyle w:val="EPMBullets"/>
        <w:tabs>
          <w:tab w:val="clear" w:pos="851"/>
        </w:tabs>
        <w:ind w:left="993" w:hanging="284"/>
      </w:pPr>
      <w:r>
        <w:t xml:space="preserve">Any measure which the transferee (new employer) will take </w:t>
      </w:r>
      <w:proofErr w:type="gramStart"/>
      <w:r>
        <w:t>as a result of</w:t>
      </w:r>
      <w:proofErr w:type="gramEnd"/>
      <w:r>
        <w:t xml:space="preserve"> the transfer, or if no such measures will be taken, this should be stated. A ‘measure’ is any ‘action, step or arrangement’ which the new employer intends to implement and includes the effect of transfer to the new employer on the contracts of employment of the affected employees. </w:t>
      </w:r>
    </w:p>
    <w:p w14:paraId="0748A85B" w14:textId="77777777" w:rsidR="00B82A2A" w:rsidRDefault="00B82A2A" w:rsidP="00027CEB">
      <w:pPr>
        <w:pStyle w:val="EPMTextstyle"/>
        <w:ind w:left="993"/>
      </w:pPr>
      <w:r>
        <w:t>The purpose of consultation is to consider the views of staff and trade unions before any final decision to implement the transfer of employer is reached. If any measure is envisaged that will affect the employees, trade union representatives must be consulted with a view to seeking their agreement.</w:t>
      </w:r>
    </w:p>
    <w:p w14:paraId="41EC05E1" w14:textId="77777777" w:rsidR="006F0BEE" w:rsidRDefault="00027CEB" w:rsidP="006F0BEE">
      <w:pPr>
        <w:pStyle w:val="EPMTextstyle"/>
        <w:ind w:left="993"/>
      </w:pPr>
      <w:r w:rsidRPr="00027CEB">
        <w:t>Any representations made must be considered, a response given and, if representations are to be rejected, the reasons for doing so stated. Historically, the expectation was that measures would be very few and far between and standard documentation reflects this. However, this may change, especially with the establishment of more complex MAT structures. Should you believe that it is necessary to make changes to staff terms and conditions on transfer you are advised to discuss the matter with EPM.</w:t>
      </w:r>
    </w:p>
    <w:p w14:paraId="7C704398" w14:textId="16AA5C10" w:rsidR="00E30D8B" w:rsidRDefault="006F0BEE" w:rsidP="006F0BEE">
      <w:pPr>
        <w:pStyle w:val="EPMTextstyle"/>
        <w:ind w:left="993"/>
      </w:pPr>
      <w:r w:rsidRPr="006F0BEE">
        <w:t>Measures on transfer might include:</w:t>
      </w:r>
    </w:p>
    <w:p w14:paraId="6AA5BCEE" w14:textId="77777777" w:rsidR="00FE5B93" w:rsidRDefault="00FE5B93" w:rsidP="00FE5B93">
      <w:pPr>
        <w:pStyle w:val="EPMBullets"/>
        <w:ind w:left="1276" w:hanging="283"/>
      </w:pPr>
      <w:r>
        <w:t xml:space="preserve">Change of pay date with the new employer (“the transferee”) </w:t>
      </w:r>
    </w:p>
    <w:p w14:paraId="734DF53D" w14:textId="7A1D6520" w:rsidR="00FE5B93" w:rsidRDefault="00FE5B93" w:rsidP="00FE5B93">
      <w:pPr>
        <w:pStyle w:val="EPMBullets"/>
        <w:ind w:left="1276" w:hanging="283"/>
      </w:pPr>
      <w:r>
        <w:t xml:space="preserve">Introduction of new benefits or new non-contractual policies provided by the new employer (“the transferee”) </w:t>
      </w:r>
    </w:p>
    <w:p w14:paraId="54BD71E3" w14:textId="77777777" w:rsidR="00FE5B93" w:rsidRDefault="00FE5B93">
      <w:pPr>
        <w:rPr>
          <w:rFonts w:ascii="Avenir Next LT Pro" w:hAnsi="Avenir Next LT Pro" w:cs="Arial"/>
          <w:sz w:val="21"/>
          <w:szCs w:val="20"/>
        </w:rPr>
      </w:pPr>
      <w:r>
        <w:br w:type="page"/>
      </w:r>
    </w:p>
    <w:p w14:paraId="10C60BE4" w14:textId="77777777" w:rsidR="00FE5B93" w:rsidRDefault="00FE5B93" w:rsidP="00FE5B93">
      <w:pPr>
        <w:pStyle w:val="EPMBullets"/>
        <w:ind w:left="1276" w:hanging="283"/>
      </w:pPr>
      <w:r>
        <w:t xml:space="preserve">Discontinuation of discretionary benefits provided by the current employer </w:t>
      </w:r>
      <w:proofErr w:type="gramStart"/>
      <w:r>
        <w:t>e.g.</w:t>
      </w:r>
      <w:proofErr w:type="gramEnd"/>
      <w:r>
        <w:t xml:space="preserve"> redundancy package </w:t>
      </w:r>
    </w:p>
    <w:p w14:paraId="18C2DE81" w14:textId="77777777" w:rsidR="00FE5B93" w:rsidRDefault="00FE5B93" w:rsidP="00FE5B93">
      <w:pPr>
        <w:pStyle w:val="EPMBullets"/>
        <w:ind w:left="1276" w:hanging="283"/>
      </w:pPr>
      <w:r>
        <w:t xml:space="preserve">Discontinuation of the current employer’s Local Agreements </w:t>
      </w:r>
    </w:p>
    <w:p w14:paraId="06DEC8F1" w14:textId="77777777" w:rsidR="00FE5B93" w:rsidRDefault="00FE5B93" w:rsidP="00FE5B93">
      <w:pPr>
        <w:pStyle w:val="EPMBullets"/>
        <w:ind w:left="1276" w:hanging="283"/>
      </w:pPr>
      <w:r>
        <w:t xml:space="preserve">Discontinuation of current employer’s job evaluation scheme </w:t>
      </w:r>
    </w:p>
    <w:p w14:paraId="31A245FF" w14:textId="77777777" w:rsidR="00755DB9" w:rsidRDefault="00755DB9" w:rsidP="00755DB9">
      <w:pPr>
        <w:pStyle w:val="EPMTextstyle"/>
        <w:ind w:left="993"/>
      </w:pPr>
      <w:r>
        <w:t>There are potential financial penalties for failure to fulfil the obligation to inform and consult.</w:t>
      </w:r>
    </w:p>
    <w:p w14:paraId="39640873" w14:textId="77777777" w:rsidR="00755DB9" w:rsidRDefault="00755DB9" w:rsidP="00755DB9">
      <w:pPr>
        <w:pStyle w:val="EPMTextstyle"/>
        <w:ind w:left="993"/>
      </w:pPr>
      <w:r>
        <w:t>Although the obligation to inform and consult only applies to employees’ representatives it is advisable to involve staff in the process as much as possible. Effective employee communication and consultation, coupled with engaging in early discussions with trade union representatives, will help to avoid any misconceptions or uncertainty regarding the process. The ’people part’ of the process is vital to retain positive employee relations and to ensure employee engagement in the process.</w:t>
      </w:r>
    </w:p>
    <w:p w14:paraId="759186D9" w14:textId="4DA50230" w:rsidR="006F0BEE" w:rsidRDefault="00755DB9" w:rsidP="0050081E">
      <w:pPr>
        <w:pStyle w:val="EPMTextstyle"/>
        <w:ind w:left="709"/>
      </w:pPr>
      <w:r w:rsidRPr="00755DB9">
        <w:rPr>
          <w:b/>
          <w:bCs/>
        </w:rPr>
        <w:t>Step 2:</w:t>
      </w:r>
      <w:r>
        <w:t xml:space="preserve"> Documentation, Indemnities and Employee Data</w:t>
      </w:r>
    </w:p>
    <w:p w14:paraId="2776F5C8" w14:textId="02AFF517" w:rsidR="00A319EA" w:rsidRDefault="00A319EA" w:rsidP="0050081E">
      <w:pPr>
        <w:pStyle w:val="EPMTextstyle"/>
        <w:ind w:left="709"/>
      </w:pPr>
      <w:r>
        <w:t xml:space="preserve">The DfE </w:t>
      </w:r>
      <w:hyperlink r:id="rId16" w:history="1">
        <w:r w:rsidRPr="009A7AED">
          <w:rPr>
            <w:rStyle w:val="EPMHyperlinksChar"/>
          </w:rPr>
          <w:t>Convert to an academy</w:t>
        </w:r>
      </w:hyperlink>
      <w:r w:rsidRPr="009A7AED">
        <w:rPr>
          <w:rStyle w:val="EPMHyperlinksChar"/>
        </w:rPr>
        <w:t>:</w:t>
      </w:r>
      <w:r>
        <w:t xml:space="preserve"> guide for schools provides information on the documentation you will need.</w:t>
      </w:r>
    </w:p>
    <w:p w14:paraId="73552B28" w14:textId="19BFC9E8" w:rsidR="006F0BEE" w:rsidRDefault="00A319EA" w:rsidP="0050081E">
      <w:pPr>
        <w:pStyle w:val="EPMTextstyle"/>
        <w:ind w:left="709"/>
      </w:pPr>
      <w:r>
        <w:t>The current employer (“the transferor”) must provide certain prescribed information (Employee Liability Information (ELI)) relating to staff to the new employer (</w:t>
      </w:r>
      <w:proofErr w:type="gramStart"/>
      <w:r>
        <w:t>i.e.</w:t>
      </w:r>
      <w:proofErr w:type="gramEnd"/>
      <w:r>
        <w:t xml:space="preserve"> the Academy or MAT). This is so the new employer (“the transferee”) can understand its future obligations, establish any liabilities that it will inherit, consider the implications of those and, establish if any indemnities are appropriate (an indemnity is a promise to accept liability for another’s loss). The ELI must be provided at least 28 days before transfer. However, it is helpful if the current employer (transferor) provides the information as early as possible. In addition to the ELI, the new employer (transferee) may wish to ask further ‘due diligence’ questions of the current employer (transferor) so it can fully establish the responsibilities it will be taking on. EPM can provide an ELI template and suggested standard due diligence questions to assist the transferee in requesting this information from the transferor.</w:t>
      </w:r>
    </w:p>
    <w:p w14:paraId="46050B2F" w14:textId="38E189FE" w:rsidR="006F0BEE" w:rsidRDefault="005F2D2D" w:rsidP="0050081E">
      <w:pPr>
        <w:pStyle w:val="EPMTextstyle"/>
        <w:ind w:left="709"/>
        <w:rPr>
          <w:rStyle w:val="EPMHyperlinksChar"/>
        </w:rPr>
      </w:pPr>
      <w:r w:rsidRPr="005F2D2D">
        <w:t xml:space="preserve">The ELI information is incorporated into the legal staff transfer document: the Commercial Transfer Agreement which must be drawn up by a lawyer and covers all liabilities and indemnities. The DfE provides a template: </w:t>
      </w:r>
      <w:hyperlink r:id="rId17" w:history="1">
        <w:r w:rsidRPr="00C41EEF">
          <w:rPr>
            <w:rStyle w:val="EPMHyperlinksChar"/>
          </w:rPr>
          <w:t>Commercial Transfer Agreement.</w:t>
        </w:r>
      </w:hyperlink>
    </w:p>
    <w:p w14:paraId="1C64E614" w14:textId="7625B7FB" w:rsidR="0050081E" w:rsidRDefault="0050081E" w:rsidP="0050081E">
      <w:pPr>
        <w:pStyle w:val="EPMNumberedHeading"/>
      </w:pPr>
      <w:r>
        <w:t>EPM’s Professional Advice and Expertise</w:t>
      </w:r>
    </w:p>
    <w:p w14:paraId="65DB3B7F" w14:textId="77777777" w:rsidR="0050081E" w:rsidRDefault="0050081E" w:rsidP="0050081E">
      <w:pPr>
        <w:pStyle w:val="EPMTextstyle"/>
        <w:ind w:left="709"/>
      </w:pPr>
      <w:r>
        <w:t xml:space="preserve">We offer comprehensive advice and support with the statutory TUPE requirements as well as practical guidance for a seamless transfer process. EPM’s work with over 75 MATs has offered a streamlined and professional approach to HR and Payroll management. An effective approach, experienced team and sector knowledge have enabled EPM to build a market-leading reputation and a national client base of over 1300 Schools across 65 Local Authority areas. We work closely with Academy Leaders </w:t>
      </w:r>
      <w:proofErr w:type="gramStart"/>
      <w:r>
        <w:t>in order to</w:t>
      </w:r>
      <w:proofErr w:type="gramEnd"/>
      <w:r>
        <w:t xml:space="preserve"> understand the Trust’s vision and objectives in order to provide relevant and appropriate HR advice, tailored to requirements.</w:t>
      </w:r>
    </w:p>
    <w:p w14:paraId="3F779AE2" w14:textId="2B142597" w:rsidR="00C41EEF" w:rsidRDefault="0050081E" w:rsidP="0050081E">
      <w:pPr>
        <w:pStyle w:val="EPMTextstyle"/>
        <w:ind w:left="709"/>
      </w:pPr>
      <w:r>
        <w:t>As part of the full HR service, at no additional cost, we can provide advice and support in the following areas:</w:t>
      </w:r>
    </w:p>
    <w:p w14:paraId="54DA5BA6" w14:textId="77777777" w:rsidR="00DF6ABD" w:rsidRDefault="00DF6ABD" w:rsidP="00DF6ABD">
      <w:pPr>
        <w:pStyle w:val="EPMBullets"/>
        <w:tabs>
          <w:tab w:val="clear" w:pos="851"/>
          <w:tab w:val="left" w:pos="993"/>
        </w:tabs>
        <w:ind w:left="1276" w:hanging="567"/>
      </w:pPr>
      <w:r>
        <w:t xml:space="preserve">Template Timetable for TUPE for New Employer (Transferee) (see Appendix 1) </w:t>
      </w:r>
    </w:p>
    <w:p w14:paraId="57FACCD0" w14:textId="77777777" w:rsidR="00DF6ABD" w:rsidRDefault="00DF6ABD" w:rsidP="00DF6ABD">
      <w:pPr>
        <w:pStyle w:val="EPMBullets"/>
        <w:tabs>
          <w:tab w:val="clear" w:pos="851"/>
          <w:tab w:val="left" w:pos="993"/>
        </w:tabs>
        <w:ind w:left="1276" w:hanging="567"/>
      </w:pPr>
      <w:r>
        <w:t xml:space="preserve">A model ELI/due diligence checklist </w:t>
      </w:r>
    </w:p>
    <w:p w14:paraId="4B903BC7" w14:textId="77777777" w:rsidR="00DF6ABD" w:rsidRDefault="00DF6ABD" w:rsidP="00DF6ABD">
      <w:pPr>
        <w:pStyle w:val="EPMBullets"/>
        <w:tabs>
          <w:tab w:val="clear" w:pos="851"/>
          <w:tab w:val="left" w:pos="993"/>
        </w:tabs>
        <w:ind w:left="1276" w:hanging="567"/>
      </w:pPr>
      <w:r>
        <w:t xml:space="preserve">A model letter to staff confirming the new </w:t>
      </w:r>
      <w:proofErr w:type="gramStart"/>
      <w:r>
        <w:t>employer</w:t>
      </w:r>
      <w:proofErr w:type="gramEnd"/>
      <w:r>
        <w:t xml:space="preserve"> </w:t>
      </w:r>
    </w:p>
    <w:p w14:paraId="77521090" w14:textId="77777777" w:rsidR="00DF6ABD" w:rsidRDefault="00DF6ABD" w:rsidP="00DF6ABD">
      <w:pPr>
        <w:pStyle w:val="EPMBullets"/>
        <w:tabs>
          <w:tab w:val="clear" w:pos="851"/>
          <w:tab w:val="left" w:pos="993"/>
        </w:tabs>
        <w:ind w:left="1276" w:hanging="567"/>
      </w:pPr>
      <w:r>
        <w:t xml:space="preserve">A presentation to staff and trade union representatives regarding the implications of TUPE </w:t>
      </w:r>
    </w:p>
    <w:p w14:paraId="22526B43" w14:textId="77777777" w:rsidR="00DF6ABD" w:rsidRDefault="00DF6ABD" w:rsidP="00DF6ABD">
      <w:pPr>
        <w:pStyle w:val="EPMBullets"/>
        <w:tabs>
          <w:tab w:val="clear" w:pos="851"/>
          <w:tab w:val="left" w:pos="993"/>
        </w:tabs>
        <w:ind w:left="1276" w:hanging="567"/>
      </w:pPr>
      <w:r>
        <w:t xml:space="preserve">Advice on any ‘measures’ that you may need to include within the consultation </w:t>
      </w:r>
      <w:proofErr w:type="gramStart"/>
      <w:r>
        <w:t>period</w:t>
      </w:r>
      <w:proofErr w:type="gramEnd"/>
      <w:r>
        <w:t xml:space="preserve"> </w:t>
      </w:r>
    </w:p>
    <w:p w14:paraId="4EE9A20F" w14:textId="77777777" w:rsidR="00DF6ABD" w:rsidRDefault="00DF6ABD" w:rsidP="00DF6ABD">
      <w:pPr>
        <w:pStyle w:val="EPMBullets"/>
        <w:tabs>
          <w:tab w:val="clear" w:pos="851"/>
          <w:tab w:val="left" w:pos="993"/>
        </w:tabs>
        <w:ind w:left="1276" w:hanging="567"/>
      </w:pPr>
      <w:r>
        <w:t xml:space="preserve">Advice on the transfer of staffing information </w:t>
      </w:r>
    </w:p>
    <w:p w14:paraId="73FB068B" w14:textId="77777777" w:rsidR="00DF6ABD" w:rsidRDefault="00DF6ABD" w:rsidP="00DF6ABD">
      <w:pPr>
        <w:pStyle w:val="EPMBullets"/>
        <w:tabs>
          <w:tab w:val="clear" w:pos="851"/>
          <w:tab w:val="left" w:pos="993"/>
        </w:tabs>
        <w:ind w:left="1276" w:hanging="567"/>
      </w:pPr>
      <w:r>
        <w:t xml:space="preserve">Model staffing policies and procedures suitable for use within an academy for consultation </w:t>
      </w:r>
    </w:p>
    <w:p w14:paraId="0036EE52" w14:textId="77777777" w:rsidR="00DF6ABD" w:rsidRDefault="00DF6ABD" w:rsidP="00DF6ABD">
      <w:pPr>
        <w:pStyle w:val="EPMBullets"/>
        <w:tabs>
          <w:tab w:val="clear" w:pos="851"/>
          <w:tab w:val="left" w:pos="993"/>
        </w:tabs>
        <w:ind w:left="1276" w:hanging="567"/>
      </w:pPr>
      <w:r>
        <w:t xml:space="preserve">A draft consultation letter for staff and trade unions </w:t>
      </w:r>
    </w:p>
    <w:p w14:paraId="566181F3" w14:textId="77777777" w:rsidR="00DF6ABD" w:rsidRDefault="00DF6ABD" w:rsidP="00DF6ABD">
      <w:pPr>
        <w:pStyle w:val="EPMBullets"/>
        <w:tabs>
          <w:tab w:val="clear" w:pos="851"/>
          <w:tab w:val="left" w:pos="993"/>
        </w:tabs>
        <w:ind w:left="1276" w:hanging="567"/>
      </w:pPr>
      <w:r>
        <w:t xml:space="preserve">Attend any staff/trade union consultation </w:t>
      </w:r>
      <w:proofErr w:type="gramStart"/>
      <w:r>
        <w:t>meetings</w:t>
      </w:r>
      <w:proofErr w:type="gramEnd"/>
      <w:r>
        <w:t xml:space="preserve"> </w:t>
      </w:r>
    </w:p>
    <w:p w14:paraId="75C33007" w14:textId="77777777" w:rsidR="00DF6ABD" w:rsidRDefault="00DF6ABD" w:rsidP="00DF6ABD">
      <w:pPr>
        <w:pStyle w:val="EPMBullets"/>
        <w:tabs>
          <w:tab w:val="clear" w:pos="851"/>
          <w:tab w:val="left" w:pos="993"/>
        </w:tabs>
        <w:ind w:left="1276" w:hanging="567"/>
      </w:pPr>
      <w:r>
        <w:t xml:space="preserve">Advice in relation to “TUPE surgeries”/one-to-one meetings </w:t>
      </w:r>
    </w:p>
    <w:p w14:paraId="5C166238" w14:textId="77777777" w:rsidR="00DF6ABD" w:rsidRDefault="00DF6ABD" w:rsidP="00DF6ABD">
      <w:pPr>
        <w:pStyle w:val="EPMBullets"/>
        <w:tabs>
          <w:tab w:val="clear" w:pos="851"/>
          <w:tab w:val="left" w:pos="1276"/>
        </w:tabs>
        <w:ind w:left="993" w:hanging="284"/>
      </w:pPr>
      <w:r>
        <w:t xml:space="preserve">Advice on any representations received from trade unions or staff during the consultation </w:t>
      </w:r>
      <w:proofErr w:type="gramStart"/>
      <w:r>
        <w:t>period</w:t>
      </w:r>
      <w:proofErr w:type="gramEnd"/>
      <w:r>
        <w:t xml:space="preserve"> </w:t>
      </w:r>
    </w:p>
    <w:p w14:paraId="3EF2DC30" w14:textId="580EF23F" w:rsidR="0050081E" w:rsidRDefault="0001639B" w:rsidP="0001639B">
      <w:pPr>
        <w:pStyle w:val="EPMTextstyle"/>
        <w:ind w:left="709"/>
      </w:pPr>
      <w:r w:rsidRPr="0001639B">
        <w:t>As part of the full HR service, at no additional cost, and providing that EPM’s services are retained following the transfer, we can provide:</w:t>
      </w:r>
    </w:p>
    <w:p w14:paraId="52D64B40" w14:textId="77777777" w:rsidR="00D751A3" w:rsidRDefault="00D751A3" w:rsidP="00D751A3">
      <w:pPr>
        <w:pStyle w:val="EPMBullets"/>
        <w:tabs>
          <w:tab w:val="clear" w:pos="851"/>
          <w:tab w:val="left" w:pos="1418"/>
        </w:tabs>
        <w:ind w:left="993" w:hanging="284"/>
      </w:pPr>
      <w:r>
        <w:t xml:space="preserve">Advice on terms and conditions for transferred </w:t>
      </w:r>
      <w:proofErr w:type="gramStart"/>
      <w:r>
        <w:t>staff</w:t>
      </w:r>
      <w:proofErr w:type="gramEnd"/>
      <w:r>
        <w:t xml:space="preserve"> </w:t>
      </w:r>
    </w:p>
    <w:p w14:paraId="0211B5DD" w14:textId="77777777" w:rsidR="00D751A3" w:rsidRDefault="00D751A3" w:rsidP="00D751A3">
      <w:pPr>
        <w:pStyle w:val="EPMBullets"/>
        <w:tabs>
          <w:tab w:val="clear" w:pos="851"/>
          <w:tab w:val="left" w:pos="1418"/>
        </w:tabs>
        <w:ind w:left="993" w:hanging="284"/>
      </w:pPr>
      <w:r>
        <w:t xml:space="preserve">Advice on terms and conditions for new staff </w:t>
      </w:r>
    </w:p>
    <w:p w14:paraId="7C7A8A11" w14:textId="77777777" w:rsidR="00D751A3" w:rsidRDefault="00D751A3" w:rsidP="00D751A3">
      <w:pPr>
        <w:pStyle w:val="EPMBullets"/>
        <w:tabs>
          <w:tab w:val="clear" w:pos="851"/>
          <w:tab w:val="left" w:pos="1418"/>
        </w:tabs>
        <w:ind w:left="993" w:hanging="284"/>
      </w:pPr>
      <w:r>
        <w:t xml:space="preserve">Advice on trade union recognition and consultation with trade unions post-conversion </w:t>
      </w:r>
    </w:p>
    <w:p w14:paraId="040FA385" w14:textId="77777777" w:rsidR="00D751A3" w:rsidRDefault="00D751A3" w:rsidP="00D751A3">
      <w:pPr>
        <w:pStyle w:val="EPMBullets"/>
        <w:tabs>
          <w:tab w:val="clear" w:pos="851"/>
          <w:tab w:val="left" w:pos="1418"/>
        </w:tabs>
        <w:ind w:left="993" w:hanging="284"/>
      </w:pPr>
      <w:r>
        <w:t>Advice on any inherited employee relations issues (</w:t>
      </w:r>
      <w:proofErr w:type="gramStart"/>
      <w:r>
        <w:t>e.g.</w:t>
      </w:r>
      <w:proofErr w:type="gramEnd"/>
      <w:r>
        <w:t xml:space="preserve"> sickness, disciplinary, capability etc.) </w:t>
      </w:r>
    </w:p>
    <w:p w14:paraId="6700DABD" w14:textId="77777777" w:rsidR="00D751A3" w:rsidRDefault="00D751A3" w:rsidP="00D751A3">
      <w:pPr>
        <w:pStyle w:val="EPMBullets"/>
        <w:tabs>
          <w:tab w:val="clear" w:pos="851"/>
          <w:tab w:val="left" w:pos="1418"/>
        </w:tabs>
        <w:ind w:left="993" w:hanging="284"/>
      </w:pPr>
      <w:r>
        <w:t xml:space="preserve">Advice on any restructuring and redundancy following a TUPE </w:t>
      </w:r>
      <w:proofErr w:type="gramStart"/>
      <w:r>
        <w:t>transfer</w:t>
      </w:r>
      <w:proofErr w:type="gramEnd"/>
      <w:r>
        <w:t xml:space="preserve"> </w:t>
      </w:r>
    </w:p>
    <w:p w14:paraId="26D4720F" w14:textId="77777777" w:rsidR="00D751A3" w:rsidRDefault="00D751A3" w:rsidP="00D751A3">
      <w:pPr>
        <w:pStyle w:val="EPMBullets"/>
        <w:tabs>
          <w:tab w:val="clear" w:pos="851"/>
          <w:tab w:val="left" w:pos="1418"/>
        </w:tabs>
        <w:ind w:left="993" w:hanging="284"/>
      </w:pPr>
      <w:r>
        <w:t>A model contract for newly appointed teachers and support staff</w:t>
      </w:r>
    </w:p>
    <w:p w14:paraId="50703D58" w14:textId="7FBE26B3" w:rsidR="0001639B" w:rsidRDefault="000E4292" w:rsidP="000E4292">
      <w:pPr>
        <w:pStyle w:val="EPMTextstyle"/>
        <w:ind w:left="709"/>
      </w:pPr>
      <w:r w:rsidRPr="000E4292">
        <w:t>Please note that the Service Level Agreement does not cover attendance at one-to-one meetings.</w:t>
      </w:r>
    </w:p>
    <w:p w14:paraId="277ED4D4" w14:textId="541FADC0" w:rsidR="00AA0881" w:rsidRDefault="00AA0881" w:rsidP="00AA0881">
      <w:pPr>
        <w:pStyle w:val="EPMNumberedHeading"/>
      </w:pPr>
      <w:r>
        <w:t>Post Conversion Considerations</w:t>
      </w:r>
    </w:p>
    <w:p w14:paraId="47B790F2" w14:textId="77777777" w:rsidR="00AA0881" w:rsidRDefault="00AA0881" w:rsidP="00AA0881">
      <w:pPr>
        <w:pStyle w:val="EPMTextstyle"/>
        <w:ind w:left="709"/>
      </w:pPr>
      <w:r>
        <w:t xml:space="preserve">EPM can also provide advice on the following issues: </w:t>
      </w:r>
    </w:p>
    <w:p w14:paraId="68407C23" w14:textId="77777777" w:rsidR="00AA0881" w:rsidRDefault="00AA0881" w:rsidP="00AA0881">
      <w:pPr>
        <w:pStyle w:val="EPMTextstyle"/>
        <w:ind w:left="709"/>
      </w:pPr>
      <w:r>
        <w:t>Working with Trade Unions</w:t>
      </w:r>
    </w:p>
    <w:p w14:paraId="0CE73DF5" w14:textId="389CEF8D" w:rsidR="00AA0881" w:rsidRDefault="00AA0881" w:rsidP="00AA0881">
      <w:pPr>
        <w:pStyle w:val="EPMBullets"/>
        <w:tabs>
          <w:tab w:val="clear" w:pos="851"/>
          <w:tab w:val="left" w:pos="2127"/>
        </w:tabs>
        <w:ind w:left="993" w:hanging="284"/>
      </w:pPr>
      <w:r>
        <w:t xml:space="preserve">Is a Trust obliged to recognise unions? (Recognition Agreements) </w:t>
      </w:r>
    </w:p>
    <w:p w14:paraId="1E40A16B" w14:textId="1FBEEB3B" w:rsidR="00AA0881" w:rsidRDefault="00AA0881" w:rsidP="00AA0881">
      <w:pPr>
        <w:pStyle w:val="EPMBullets"/>
        <w:tabs>
          <w:tab w:val="clear" w:pos="851"/>
          <w:tab w:val="left" w:pos="2127"/>
        </w:tabs>
        <w:ind w:left="993" w:hanging="284"/>
      </w:pPr>
      <w:r>
        <w:t xml:space="preserve">Facilities </w:t>
      </w:r>
      <w:proofErr w:type="gramStart"/>
      <w:r>
        <w:t>time;</w:t>
      </w:r>
      <w:proofErr w:type="gramEnd"/>
      <w:r>
        <w:t xml:space="preserve"> should Academies continue to contribute to LA arrangements, are there alternative models? </w:t>
      </w:r>
    </w:p>
    <w:p w14:paraId="3CDF8BA7" w14:textId="0283FC40" w:rsidR="000E4292" w:rsidRDefault="00AA0881" w:rsidP="00AA0881">
      <w:pPr>
        <w:pStyle w:val="EPMBullets"/>
        <w:tabs>
          <w:tab w:val="clear" w:pos="851"/>
          <w:tab w:val="left" w:pos="2127"/>
        </w:tabs>
        <w:ind w:left="993" w:hanging="284"/>
      </w:pPr>
      <w:r>
        <w:t>Is a joint consultative committee (JCC) arrangement required? If so, is this internal/local/ regional/national?</w:t>
      </w:r>
    </w:p>
    <w:p w14:paraId="39F8209A" w14:textId="77777777" w:rsidR="00861E9C" w:rsidRDefault="00861E9C" w:rsidP="00861E9C">
      <w:pPr>
        <w:pStyle w:val="EPMTextstyle"/>
        <w:ind w:left="709"/>
      </w:pPr>
      <w:r>
        <w:t>Terms and Conditions of Employment</w:t>
      </w:r>
    </w:p>
    <w:p w14:paraId="7F078623" w14:textId="0B30EEF2" w:rsidR="00861E9C" w:rsidRDefault="00861E9C" w:rsidP="00861E9C">
      <w:pPr>
        <w:pStyle w:val="EPMBullets"/>
        <w:tabs>
          <w:tab w:val="clear" w:pos="851"/>
          <w:tab w:val="left" w:pos="993"/>
        </w:tabs>
        <w:ind w:left="1276" w:hanging="567"/>
      </w:pPr>
      <w:r>
        <w:t xml:space="preserve">Are National Conditions (STPC and Burgundy Book/Green Book) fit for purpose for a MAT? </w:t>
      </w:r>
    </w:p>
    <w:p w14:paraId="5EB1F6E2" w14:textId="398B5FB4" w:rsidR="00861E9C" w:rsidRDefault="00861E9C" w:rsidP="00861E9C">
      <w:pPr>
        <w:pStyle w:val="EPMBullets"/>
        <w:tabs>
          <w:tab w:val="clear" w:pos="851"/>
          <w:tab w:val="left" w:pos="993"/>
        </w:tabs>
        <w:ind w:left="1276" w:hanging="567"/>
      </w:pPr>
      <w:r>
        <w:t xml:space="preserve">Life beyond a “quick academy conversion” – is post TUPE harmonisation achievable? </w:t>
      </w:r>
    </w:p>
    <w:p w14:paraId="1C70C293" w14:textId="539B87B2" w:rsidR="00861E9C" w:rsidRDefault="00861E9C" w:rsidP="00861E9C">
      <w:pPr>
        <w:pStyle w:val="EPMBullets"/>
        <w:tabs>
          <w:tab w:val="clear" w:pos="851"/>
          <w:tab w:val="left" w:pos="993"/>
        </w:tabs>
        <w:ind w:left="1276" w:hanging="567"/>
      </w:pPr>
      <w:r>
        <w:t>Academy contracts – mobility clauses and other non-LA terms.</w:t>
      </w:r>
    </w:p>
    <w:p w14:paraId="210B060E" w14:textId="24C60AAD" w:rsidR="00E927FA" w:rsidRDefault="00E927FA" w:rsidP="00E927FA">
      <w:pPr>
        <w:pStyle w:val="EPMNumberedHeading"/>
      </w:pPr>
      <w:r>
        <w:t>Links to Further Reading</w:t>
      </w:r>
    </w:p>
    <w:p w14:paraId="3EF415B0" w14:textId="506C6F00" w:rsidR="00E927FA" w:rsidRPr="00F74733" w:rsidRDefault="00F74733" w:rsidP="00F74733">
      <w:pPr>
        <w:pStyle w:val="BulletswithHyperlink"/>
      </w:pPr>
      <w:hyperlink r:id="rId18" w:history="1">
        <w:r w:rsidR="00E927FA" w:rsidRPr="00F74733">
          <w:rPr>
            <w:rStyle w:val="Hyperlink"/>
            <w:rFonts w:ascii="Avenir Next LT Pro" w:hAnsi="Avenir Next LT Pro"/>
            <w:color w:val="26529E"/>
          </w:rPr>
          <w:t xml:space="preserve">Business transfers, </w:t>
        </w:r>
        <w:proofErr w:type="gramStart"/>
        <w:r w:rsidR="00E927FA" w:rsidRPr="00F74733">
          <w:rPr>
            <w:rStyle w:val="Hyperlink"/>
            <w:rFonts w:ascii="Avenir Next LT Pro" w:hAnsi="Avenir Next LT Pro"/>
            <w:color w:val="26529E"/>
          </w:rPr>
          <w:t>takeovers</w:t>
        </w:r>
        <w:proofErr w:type="gramEnd"/>
        <w:r w:rsidR="00E927FA" w:rsidRPr="00F74733">
          <w:rPr>
            <w:rStyle w:val="Hyperlink"/>
            <w:rFonts w:ascii="Avenir Next LT Pro" w:hAnsi="Avenir Next LT Pro"/>
            <w:color w:val="26529E"/>
          </w:rPr>
          <w:t xml:space="preserve"> and TUPE</w:t>
        </w:r>
      </w:hyperlink>
    </w:p>
    <w:p w14:paraId="34F0C92B" w14:textId="2CFE95D5" w:rsidR="00E927FA" w:rsidRPr="00D82370" w:rsidRDefault="00D82370" w:rsidP="00D82370">
      <w:pPr>
        <w:pStyle w:val="BulletswithHyperlink"/>
      </w:pPr>
      <w:hyperlink r:id="rId19" w:history="1">
        <w:r w:rsidR="00E927FA" w:rsidRPr="00D82370">
          <w:rPr>
            <w:rStyle w:val="Hyperlink"/>
            <w:rFonts w:ascii="Avenir Next LT Pro" w:hAnsi="Avenir Next LT Pro"/>
            <w:color w:val="26529E"/>
          </w:rPr>
          <w:t>BIS Guide to the 2006 TUPE Regulations</w:t>
        </w:r>
      </w:hyperlink>
    </w:p>
    <w:p w14:paraId="1462545C" w14:textId="0ADD3282" w:rsidR="00E927FA" w:rsidRPr="00070BC7" w:rsidRDefault="00070BC7" w:rsidP="00070BC7">
      <w:pPr>
        <w:pStyle w:val="BulletswithHyperlink"/>
      </w:pPr>
      <w:hyperlink r:id="rId20" w:history="1">
        <w:r w:rsidR="00E927FA" w:rsidRPr="00070BC7">
          <w:rPr>
            <w:rStyle w:val="Hyperlink"/>
            <w:rFonts w:ascii="Avenir Next LT Pro" w:hAnsi="Avenir Next LT Pro"/>
            <w:color w:val="26529E"/>
          </w:rPr>
          <w:t>Convert to an academy: guide for schools</w:t>
        </w:r>
      </w:hyperlink>
    </w:p>
    <w:p w14:paraId="268626D9" w14:textId="05FBD7F7" w:rsidR="00E927FA" w:rsidRPr="002E3B54" w:rsidRDefault="002E3B54" w:rsidP="002E3B54">
      <w:pPr>
        <w:pStyle w:val="BulletswithHyperlink"/>
      </w:pPr>
      <w:hyperlink r:id="rId21" w:history="1">
        <w:r w:rsidR="00E927FA" w:rsidRPr="002E3B54">
          <w:t>DfE Model academy commercial transfer agreement (CTA)</w:t>
        </w:r>
      </w:hyperlink>
    </w:p>
    <w:p w14:paraId="5EA39463" w14:textId="54B0D084" w:rsidR="00861E9C" w:rsidRPr="00DE30A3" w:rsidRDefault="003F2B88" w:rsidP="003F2B88">
      <w:pPr>
        <w:pStyle w:val="BulletswithHyperlink"/>
      </w:pPr>
      <w:hyperlink r:id="rId22" w:history="1">
        <w:r w:rsidR="00E927FA" w:rsidRPr="003F2B88">
          <w:t>ACAS TUPE guidance</w:t>
        </w:r>
      </w:hyperlink>
    </w:p>
    <w:p w14:paraId="71C5FD62" w14:textId="77777777" w:rsidR="00DD7009" w:rsidRDefault="00DD7009" w:rsidP="00DD7009">
      <w:pPr>
        <w:rPr>
          <w:rFonts w:cs="Arial"/>
          <w:b/>
          <w:bCs/>
          <w:color w:val="A31457"/>
        </w:rPr>
        <w:sectPr w:rsidR="00DD7009" w:rsidSect="00B3029C">
          <w:pgSz w:w="11906" w:h="16838"/>
          <w:pgMar w:top="1695" w:right="1021" w:bottom="851" w:left="1021" w:header="709" w:footer="544" w:gutter="0"/>
          <w:pgNumType w:start="1"/>
          <w:cols w:space="708"/>
          <w:docGrid w:linePitch="360"/>
        </w:sectPr>
      </w:pPr>
    </w:p>
    <w:p w14:paraId="539692F5" w14:textId="6BD93975" w:rsidR="00DD7009" w:rsidRDefault="00C3746F" w:rsidP="00DD7009">
      <w:pPr>
        <w:pStyle w:val="EPMHeading2"/>
      </w:pPr>
      <w:r>
        <w:lastRenderedPageBreak/>
        <w:t>Appendix 1</w:t>
      </w:r>
    </w:p>
    <w:p w14:paraId="077E2EA6" w14:textId="6C6311D6" w:rsidR="00C3746F" w:rsidRPr="0099024B" w:rsidRDefault="00EB3FB0" w:rsidP="00DD7009">
      <w:pPr>
        <w:pStyle w:val="EPMHeading2"/>
      </w:pPr>
      <w:r w:rsidRPr="00EB3FB0">
        <w:t>Template Timetable for TUPE for New Employer (Transferee)</w:t>
      </w:r>
    </w:p>
    <w:p w14:paraId="6B6B3A8B" w14:textId="77777777" w:rsidR="00E22B56" w:rsidRDefault="00E22B56"/>
    <w:tbl>
      <w:tblPr>
        <w:tblStyle w:val="EPMTableStyle"/>
        <w:tblW w:w="0" w:type="auto"/>
        <w:tblLook w:val="04A0" w:firstRow="1" w:lastRow="0" w:firstColumn="1" w:lastColumn="0" w:noHBand="0" w:noVBand="1"/>
      </w:tblPr>
      <w:tblGrid>
        <w:gridCol w:w="709"/>
        <w:gridCol w:w="992"/>
        <w:gridCol w:w="6521"/>
        <w:gridCol w:w="1642"/>
      </w:tblGrid>
      <w:tr w:rsidR="00E22B56" w:rsidRPr="0099024B" w14:paraId="44CCA24C" w14:textId="77777777" w:rsidTr="00D36274">
        <w:trPr>
          <w:cnfStyle w:val="100000000000" w:firstRow="1" w:lastRow="0" w:firstColumn="0" w:lastColumn="0" w:oddVBand="0" w:evenVBand="0" w:oddHBand="0" w:evenHBand="0" w:firstRowFirstColumn="0" w:firstRowLastColumn="0" w:lastRowFirstColumn="0" w:lastRowLastColumn="0"/>
        </w:trPr>
        <w:tc>
          <w:tcPr>
            <w:tcW w:w="709" w:type="dxa"/>
            <w:tcBorders>
              <w:bottom w:val="single" w:sz="4" w:space="0" w:color="242E55"/>
            </w:tcBorders>
            <w:shd w:val="clear" w:color="auto" w:fill="242E54"/>
          </w:tcPr>
          <w:p w14:paraId="5290B2AB" w14:textId="56202968" w:rsidR="00E22B56" w:rsidRPr="00DE30A3" w:rsidRDefault="00E22B56" w:rsidP="00FC6BDA">
            <w:pPr>
              <w:pStyle w:val="EPMTableHeading"/>
              <w:rPr>
                <w:bCs w:val="0"/>
              </w:rPr>
            </w:pPr>
            <w:r>
              <w:t>Step</w:t>
            </w:r>
          </w:p>
        </w:tc>
        <w:tc>
          <w:tcPr>
            <w:tcW w:w="992" w:type="dxa"/>
            <w:tcBorders>
              <w:bottom w:val="single" w:sz="4" w:space="0" w:color="242E55"/>
            </w:tcBorders>
            <w:shd w:val="clear" w:color="auto" w:fill="242E54"/>
          </w:tcPr>
          <w:p w14:paraId="14233905" w14:textId="719615DA" w:rsidR="00E22B56" w:rsidRPr="00DE30A3" w:rsidRDefault="00E22B56" w:rsidP="00FC6BDA">
            <w:pPr>
              <w:pStyle w:val="EPMTableHeading"/>
              <w:rPr>
                <w:b w:val="0"/>
                <w:bCs w:val="0"/>
              </w:rPr>
            </w:pPr>
            <w:r>
              <w:t>Date</w:t>
            </w:r>
          </w:p>
        </w:tc>
        <w:tc>
          <w:tcPr>
            <w:tcW w:w="6521" w:type="dxa"/>
            <w:tcBorders>
              <w:bottom w:val="single" w:sz="4" w:space="0" w:color="242E55"/>
            </w:tcBorders>
            <w:shd w:val="clear" w:color="auto" w:fill="242E54"/>
          </w:tcPr>
          <w:p w14:paraId="7C5CA5DB" w14:textId="397D0E09" w:rsidR="00E22B56" w:rsidRPr="00DE30A3" w:rsidRDefault="00E22B56" w:rsidP="00FC6BDA">
            <w:pPr>
              <w:pStyle w:val="EPMTableHeading"/>
            </w:pPr>
            <w:r>
              <w:t>Event/Action</w:t>
            </w:r>
          </w:p>
        </w:tc>
        <w:tc>
          <w:tcPr>
            <w:tcW w:w="1642" w:type="dxa"/>
            <w:tcBorders>
              <w:bottom w:val="single" w:sz="4" w:space="0" w:color="242E55"/>
            </w:tcBorders>
            <w:shd w:val="clear" w:color="auto" w:fill="242E54"/>
          </w:tcPr>
          <w:p w14:paraId="264F21B3" w14:textId="3F72B9C0" w:rsidR="00E22B56" w:rsidRPr="00DE30A3" w:rsidRDefault="00E22B56" w:rsidP="00FC6BDA">
            <w:pPr>
              <w:pStyle w:val="EPMTableHeading"/>
              <w:rPr>
                <w:b w:val="0"/>
              </w:rPr>
            </w:pPr>
            <w:r>
              <w:t>Action by</w:t>
            </w:r>
          </w:p>
        </w:tc>
      </w:tr>
      <w:tr w:rsidR="00E22B56" w:rsidRPr="0099024B" w14:paraId="010E56AD" w14:textId="77777777" w:rsidTr="00D36274">
        <w:tc>
          <w:tcPr>
            <w:tcW w:w="709" w:type="dxa"/>
            <w:tcBorders>
              <w:top w:val="single" w:sz="4" w:space="0" w:color="242E55"/>
              <w:bottom w:val="single" w:sz="4" w:space="0" w:color="9FAAC4"/>
              <w:right w:val="single" w:sz="4" w:space="0" w:color="9FAAC4"/>
            </w:tcBorders>
          </w:tcPr>
          <w:p w14:paraId="797B2861" w14:textId="57E61F82" w:rsidR="00E22B56" w:rsidRPr="000F2D2C" w:rsidRDefault="000F2D2C" w:rsidP="00FC6BDA">
            <w:pPr>
              <w:rPr>
                <w:rFonts w:ascii="Avenir Next LT Pro" w:hAnsi="Avenir Next LT Pro" w:cs="Arial"/>
                <w:b w:val="0"/>
                <w:bCs/>
                <w:sz w:val="21"/>
                <w:szCs w:val="21"/>
              </w:rPr>
            </w:pPr>
            <w:r w:rsidRPr="000F2D2C">
              <w:rPr>
                <w:rFonts w:ascii="Avenir Next LT Pro" w:hAnsi="Avenir Next LT Pro" w:cs="Arial"/>
                <w:b w:val="0"/>
                <w:bCs/>
                <w:sz w:val="21"/>
                <w:szCs w:val="21"/>
              </w:rPr>
              <w:t>1</w:t>
            </w:r>
          </w:p>
        </w:tc>
        <w:tc>
          <w:tcPr>
            <w:tcW w:w="992" w:type="dxa"/>
            <w:tcBorders>
              <w:top w:val="single" w:sz="4" w:space="0" w:color="242E55"/>
              <w:left w:val="single" w:sz="4" w:space="0" w:color="9FAAC4"/>
              <w:bottom w:val="single" w:sz="4" w:space="0" w:color="9FAAC4"/>
              <w:right w:val="single" w:sz="4" w:space="0" w:color="9FAAC4"/>
            </w:tcBorders>
          </w:tcPr>
          <w:p w14:paraId="04C90B3A" w14:textId="77777777" w:rsidR="00E22B56" w:rsidRPr="000F2D2C" w:rsidRDefault="00E22B56" w:rsidP="00FC6BDA">
            <w:pPr>
              <w:rPr>
                <w:rFonts w:ascii="Avenir Next LT Pro" w:hAnsi="Avenir Next LT Pro" w:cs="Arial"/>
                <w:b w:val="0"/>
                <w:bCs/>
                <w:sz w:val="21"/>
                <w:szCs w:val="21"/>
              </w:rPr>
            </w:pPr>
          </w:p>
        </w:tc>
        <w:tc>
          <w:tcPr>
            <w:tcW w:w="6521" w:type="dxa"/>
            <w:tcBorders>
              <w:top w:val="single" w:sz="4" w:space="0" w:color="242E55"/>
              <w:left w:val="single" w:sz="4" w:space="0" w:color="9FAAC4"/>
              <w:bottom w:val="single" w:sz="4" w:space="0" w:color="9FAAC4"/>
              <w:right w:val="single" w:sz="4" w:space="0" w:color="9FAAC4"/>
            </w:tcBorders>
          </w:tcPr>
          <w:p w14:paraId="319F05C6" w14:textId="63D59588" w:rsidR="00E22B56" w:rsidRPr="000F2D2C" w:rsidRDefault="008A4EF3" w:rsidP="00FC6BDA">
            <w:pPr>
              <w:rPr>
                <w:rFonts w:ascii="Avenir Next LT Pro" w:hAnsi="Avenir Next LT Pro" w:cs="Arial"/>
                <w:b w:val="0"/>
                <w:bCs/>
                <w:sz w:val="21"/>
                <w:szCs w:val="21"/>
              </w:rPr>
            </w:pPr>
            <w:r w:rsidRPr="008A4EF3">
              <w:rPr>
                <w:rFonts w:ascii="Avenir Next LT Pro" w:hAnsi="Avenir Next LT Pro" w:cs="Arial"/>
                <w:b w:val="0"/>
                <w:bCs/>
                <w:sz w:val="21"/>
                <w:szCs w:val="21"/>
              </w:rPr>
              <w:t>Appoint a Legal Adviser to deal with the Commercial Transfer Agreement.</w:t>
            </w:r>
          </w:p>
        </w:tc>
        <w:tc>
          <w:tcPr>
            <w:tcW w:w="1642" w:type="dxa"/>
            <w:tcBorders>
              <w:top w:val="single" w:sz="4" w:space="0" w:color="242E55"/>
              <w:left w:val="single" w:sz="4" w:space="0" w:color="9FAAC4"/>
              <w:bottom w:val="single" w:sz="4" w:space="0" w:color="9FAAC4"/>
            </w:tcBorders>
          </w:tcPr>
          <w:p w14:paraId="2FC05875" w14:textId="0E2EB9EA" w:rsidR="00E22B56" w:rsidRPr="000F2D2C" w:rsidRDefault="00E22B56" w:rsidP="00FC6BDA">
            <w:pPr>
              <w:rPr>
                <w:rFonts w:ascii="Avenir Next LT Pro" w:hAnsi="Avenir Next LT Pro" w:cs="Arial"/>
                <w:b w:val="0"/>
                <w:bCs/>
                <w:sz w:val="21"/>
                <w:szCs w:val="21"/>
              </w:rPr>
            </w:pPr>
          </w:p>
        </w:tc>
      </w:tr>
      <w:tr w:rsidR="00E22B56" w:rsidRPr="0099024B" w14:paraId="37557BA6" w14:textId="77777777" w:rsidTr="00D36274">
        <w:trPr>
          <w:cnfStyle w:val="000000010000" w:firstRow="0" w:lastRow="0" w:firstColumn="0" w:lastColumn="0" w:oddVBand="0" w:evenVBand="0" w:oddHBand="0" w:evenHBand="1" w:firstRowFirstColumn="0" w:firstRowLastColumn="0" w:lastRowFirstColumn="0" w:lastRowLastColumn="0"/>
        </w:trPr>
        <w:tc>
          <w:tcPr>
            <w:tcW w:w="709" w:type="dxa"/>
            <w:tcBorders>
              <w:top w:val="single" w:sz="4" w:space="0" w:color="9FAAC4"/>
              <w:bottom w:val="single" w:sz="4" w:space="0" w:color="9FAAC4"/>
              <w:right w:val="single" w:sz="4" w:space="0" w:color="9FAAC4"/>
            </w:tcBorders>
            <w:shd w:val="clear" w:color="auto" w:fill="FFFFFF" w:themeFill="background1"/>
          </w:tcPr>
          <w:p w14:paraId="1E1FD9FB" w14:textId="325398AB" w:rsidR="00E22B56" w:rsidRPr="000F2D2C" w:rsidRDefault="000F2D2C" w:rsidP="00FC6BDA">
            <w:pPr>
              <w:rPr>
                <w:rFonts w:ascii="Avenir Next LT Pro" w:hAnsi="Avenir Next LT Pro" w:cs="Arial"/>
                <w:b w:val="0"/>
                <w:bCs/>
                <w:sz w:val="21"/>
                <w:szCs w:val="21"/>
              </w:rPr>
            </w:pPr>
            <w:r w:rsidRPr="000F2D2C">
              <w:rPr>
                <w:rFonts w:ascii="Avenir Next LT Pro" w:hAnsi="Avenir Next LT Pro" w:cs="Arial"/>
                <w:b w:val="0"/>
                <w:bCs/>
                <w:sz w:val="21"/>
                <w:szCs w:val="21"/>
              </w:rPr>
              <w:t>2</w:t>
            </w:r>
          </w:p>
        </w:tc>
        <w:tc>
          <w:tcPr>
            <w:tcW w:w="99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46FA2F53" w14:textId="77777777" w:rsidR="00E22B56" w:rsidRPr="000F2D2C" w:rsidRDefault="00E22B56" w:rsidP="00FC6BDA">
            <w:pPr>
              <w:rPr>
                <w:rFonts w:ascii="Avenir Next LT Pro" w:hAnsi="Avenir Next LT Pro" w:cs="Arial"/>
                <w:b w:val="0"/>
                <w:bCs/>
                <w:sz w:val="21"/>
                <w:szCs w:val="21"/>
              </w:rPr>
            </w:pPr>
          </w:p>
        </w:tc>
        <w:tc>
          <w:tcPr>
            <w:tcW w:w="6521"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54F80A0A" w14:textId="77777777" w:rsidR="00967AE7" w:rsidRPr="00967AE7" w:rsidRDefault="00967AE7" w:rsidP="00967AE7">
            <w:pPr>
              <w:spacing w:before="60" w:after="60"/>
              <w:rPr>
                <w:rFonts w:ascii="Avenir Next LT Pro" w:hAnsi="Avenir Next LT Pro" w:cs="Arial"/>
                <w:bCs/>
                <w:sz w:val="21"/>
                <w:szCs w:val="21"/>
              </w:rPr>
            </w:pPr>
            <w:r w:rsidRPr="00967AE7">
              <w:rPr>
                <w:rFonts w:ascii="Avenir Next LT Pro" w:hAnsi="Avenir Next LT Pro" w:cs="Arial"/>
                <w:bCs/>
                <w:sz w:val="21"/>
                <w:szCs w:val="21"/>
              </w:rPr>
              <w:t xml:space="preserve">New employer (transferee) provides current employer (transferor) with: </w:t>
            </w:r>
          </w:p>
          <w:p w14:paraId="4AA61625" w14:textId="77777777" w:rsidR="00967AE7" w:rsidRPr="00967AE7" w:rsidRDefault="00967AE7" w:rsidP="00967AE7">
            <w:pPr>
              <w:spacing w:before="60" w:after="60"/>
              <w:rPr>
                <w:rFonts w:ascii="Avenir Next LT Pro" w:hAnsi="Avenir Next LT Pro" w:cs="Arial"/>
                <w:bCs/>
                <w:sz w:val="21"/>
                <w:szCs w:val="21"/>
              </w:rPr>
            </w:pPr>
            <w:r w:rsidRPr="00967AE7">
              <w:rPr>
                <w:rFonts w:ascii="Avenir Next LT Pro" w:hAnsi="Avenir Next LT Pro" w:cs="Arial"/>
                <w:bCs/>
                <w:sz w:val="21"/>
                <w:szCs w:val="21"/>
              </w:rPr>
              <w:t xml:space="preserve">Proposed timetable for the transfer detailing: </w:t>
            </w:r>
          </w:p>
          <w:p w14:paraId="60AC7496" w14:textId="77777777" w:rsidR="00967AE7" w:rsidRPr="00967AE7" w:rsidRDefault="00967AE7" w:rsidP="00967AE7">
            <w:pPr>
              <w:spacing w:before="60" w:after="60"/>
              <w:rPr>
                <w:rFonts w:ascii="Avenir Next LT Pro" w:hAnsi="Avenir Next LT Pro" w:cs="Arial"/>
                <w:bCs/>
                <w:sz w:val="21"/>
                <w:szCs w:val="21"/>
              </w:rPr>
            </w:pPr>
            <w:r w:rsidRPr="00967AE7">
              <w:rPr>
                <w:rFonts w:ascii="Avenir Next LT Pro" w:hAnsi="Avenir Next LT Pro" w:cs="Arial"/>
                <w:bCs/>
                <w:sz w:val="21"/>
                <w:szCs w:val="21"/>
              </w:rPr>
              <w:t xml:space="preserve">Decision about and letter to unions about transfer and proposed </w:t>
            </w:r>
            <w:proofErr w:type="gramStart"/>
            <w:r w:rsidRPr="00967AE7">
              <w:rPr>
                <w:rFonts w:ascii="Avenir Next LT Pro" w:hAnsi="Avenir Next LT Pro" w:cs="Arial"/>
                <w:bCs/>
                <w:sz w:val="21"/>
                <w:szCs w:val="21"/>
              </w:rPr>
              <w:t>measures;</w:t>
            </w:r>
            <w:proofErr w:type="gramEnd"/>
            <w:r w:rsidRPr="00967AE7">
              <w:rPr>
                <w:rFonts w:ascii="Avenir Next LT Pro" w:hAnsi="Avenir Next LT Pro" w:cs="Arial"/>
                <w:bCs/>
                <w:sz w:val="21"/>
                <w:szCs w:val="21"/>
              </w:rPr>
              <w:t xml:space="preserve"> </w:t>
            </w:r>
          </w:p>
          <w:p w14:paraId="530194F4" w14:textId="77777777" w:rsidR="00967AE7" w:rsidRPr="00967AE7" w:rsidRDefault="00967AE7" w:rsidP="00967AE7">
            <w:pPr>
              <w:spacing w:before="60" w:after="60"/>
              <w:rPr>
                <w:rFonts w:ascii="Avenir Next LT Pro" w:hAnsi="Avenir Next LT Pro" w:cs="Arial"/>
                <w:bCs/>
                <w:sz w:val="21"/>
                <w:szCs w:val="21"/>
              </w:rPr>
            </w:pPr>
            <w:r w:rsidRPr="00967AE7">
              <w:rPr>
                <w:rFonts w:ascii="Avenir Next LT Pro" w:hAnsi="Avenir Next LT Pro" w:cs="Arial"/>
                <w:bCs/>
                <w:sz w:val="21"/>
                <w:szCs w:val="21"/>
              </w:rPr>
              <w:t>Staff information meeting (No 4 below</w:t>
            </w:r>
            <w:proofErr w:type="gramStart"/>
            <w:r w:rsidRPr="00967AE7">
              <w:rPr>
                <w:rFonts w:ascii="Avenir Next LT Pro" w:hAnsi="Avenir Next LT Pro" w:cs="Arial"/>
                <w:bCs/>
                <w:sz w:val="21"/>
                <w:szCs w:val="21"/>
              </w:rPr>
              <w:t>);</w:t>
            </w:r>
            <w:proofErr w:type="gramEnd"/>
            <w:r w:rsidRPr="00967AE7">
              <w:rPr>
                <w:rFonts w:ascii="Avenir Next LT Pro" w:hAnsi="Avenir Next LT Pro" w:cs="Arial"/>
                <w:bCs/>
                <w:sz w:val="21"/>
                <w:szCs w:val="21"/>
              </w:rPr>
              <w:t xml:space="preserve"> </w:t>
            </w:r>
          </w:p>
          <w:p w14:paraId="7EBC3525" w14:textId="77777777" w:rsidR="00967AE7" w:rsidRPr="00967AE7" w:rsidRDefault="00967AE7" w:rsidP="00967AE7">
            <w:pPr>
              <w:spacing w:before="60" w:after="60"/>
              <w:rPr>
                <w:rFonts w:ascii="Avenir Next LT Pro" w:hAnsi="Avenir Next LT Pro" w:cs="Arial"/>
                <w:bCs/>
                <w:sz w:val="21"/>
                <w:szCs w:val="21"/>
              </w:rPr>
            </w:pPr>
            <w:r w:rsidRPr="00967AE7">
              <w:rPr>
                <w:rFonts w:ascii="Avenir Next LT Pro" w:hAnsi="Avenir Next LT Pro" w:cs="Arial"/>
                <w:bCs/>
                <w:sz w:val="21"/>
                <w:szCs w:val="21"/>
              </w:rPr>
              <w:t>TU consultation meeting (No 3 below</w:t>
            </w:r>
            <w:proofErr w:type="gramStart"/>
            <w:r w:rsidRPr="00967AE7">
              <w:rPr>
                <w:rFonts w:ascii="Avenir Next LT Pro" w:hAnsi="Avenir Next LT Pro" w:cs="Arial"/>
                <w:bCs/>
                <w:sz w:val="21"/>
                <w:szCs w:val="21"/>
              </w:rPr>
              <w:t>);</w:t>
            </w:r>
            <w:proofErr w:type="gramEnd"/>
            <w:r w:rsidRPr="00967AE7">
              <w:rPr>
                <w:rFonts w:ascii="Avenir Next LT Pro" w:hAnsi="Avenir Next LT Pro" w:cs="Arial"/>
                <w:bCs/>
                <w:sz w:val="21"/>
                <w:szCs w:val="21"/>
              </w:rPr>
              <w:t xml:space="preserve"> </w:t>
            </w:r>
          </w:p>
          <w:p w14:paraId="154FCAD9" w14:textId="77777777" w:rsidR="00967AE7" w:rsidRPr="00967AE7" w:rsidRDefault="00967AE7" w:rsidP="00967AE7">
            <w:pPr>
              <w:spacing w:before="60" w:after="60"/>
              <w:rPr>
                <w:rFonts w:ascii="Avenir Next LT Pro" w:hAnsi="Avenir Next LT Pro" w:cs="Arial"/>
                <w:bCs/>
                <w:sz w:val="21"/>
                <w:szCs w:val="21"/>
              </w:rPr>
            </w:pPr>
            <w:r w:rsidRPr="00967AE7">
              <w:rPr>
                <w:rFonts w:ascii="Avenir Next LT Pro" w:hAnsi="Avenir Next LT Pro" w:cs="Arial"/>
                <w:bCs/>
                <w:sz w:val="21"/>
                <w:szCs w:val="21"/>
              </w:rPr>
              <w:t xml:space="preserve">Date of transfer. </w:t>
            </w:r>
          </w:p>
          <w:p w14:paraId="6608D972" w14:textId="3125AACB" w:rsidR="00E22B56" w:rsidRPr="00D36274" w:rsidRDefault="00967AE7" w:rsidP="00967AE7">
            <w:pPr>
              <w:rPr>
                <w:rFonts w:ascii="Avenir Next LT Pro" w:hAnsi="Avenir Next LT Pro" w:cs="Arial"/>
                <w:b w:val="0"/>
                <w:sz w:val="21"/>
                <w:szCs w:val="21"/>
              </w:rPr>
            </w:pPr>
            <w:r w:rsidRPr="00D36274">
              <w:rPr>
                <w:rFonts w:ascii="Avenir Next LT Pro" w:hAnsi="Avenir Next LT Pro" w:cs="Arial"/>
                <w:b w:val="0"/>
                <w:sz w:val="21"/>
                <w:szCs w:val="21"/>
              </w:rPr>
              <w:t>A draft joint TUPE information and consultation letter from the transferor and the LA/School/Trust to recognised unions of the affected staff.</w:t>
            </w:r>
          </w:p>
        </w:tc>
        <w:tc>
          <w:tcPr>
            <w:tcW w:w="1642" w:type="dxa"/>
            <w:tcBorders>
              <w:top w:val="single" w:sz="4" w:space="0" w:color="9FAAC4"/>
              <w:left w:val="single" w:sz="4" w:space="0" w:color="9FAAC4"/>
              <w:bottom w:val="single" w:sz="4" w:space="0" w:color="9FAAC4"/>
            </w:tcBorders>
            <w:shd w:val="clear" w:color="auto" w:fill="FFFFFF" w:themeFill="background1"/>
          </w:tcPr>
          <w:p w14:paraId="06F670E3" w14:textId="0F485C47" w:rsidR="00E22B56" w:rsidRPr="000F2D2C" w:rsidRDefault="00E22B56" w:rsidP="00FC6BDA">
            <w:pPr>
              <w:rPr>
                <w:rFonts w:ascii="Avenir Next LT Pro" w:hAnsi="Avenir Next LT Pro" w:cs="Arial"/>
                <w:b w:val="0"/>
                <w:bCs/>
                <w:sz w:val="21"/>
                <w:szCs w:val="21"/>
              </w:rPr>
            </w:pPr>
          </w:p>
        </w:tc>
      </w:tr>
      <w:tr w:rsidR="00E22B56" w:rsidRPr="0099024B" w14:paraId="07BD6380" w14:textId="77777777" w:rsidTr="00D36274">
        <w:tc>
          <w:tcPr>
            <w:tcW w:w="709" w:type="dxa"/>
            <w:tcBorders>
              <w:top w:val="single" w:sz="4" w:space="0" w:color="9FAAC4"/>
              <w:bottom w:val="single" w:sz="4" w:space="0" w:color="9FAAC4"/>
              <w:right w:val="single" w:sz="4" w:space="0" w:color="9FAAC4"/>
            </w:tcBorders>
          </w:tcPr>
          <w:p w14:paraId="65755835" w14:textId="4C1494D0" w:rsidR="00E22B56" w:rsidRPr="000F2D2C" w:rsidRDefault="000F2D2C" w:rsidP="00FC6BDA">
            <w:pPr>
              <w:rPr>
                <w:rFonts w:ascii="Avenir Next LT Pro" w:hAnsi="Avenir Next LT Pro" w:cs="Arial"/>
                <w:b w:val="0"/>
                <w:bCs/>
                <w:sz w:val="21"/>
                <w:szCs w:val="21"/>
              </w:rPr>
            </w:pPr>
            <w:r w:rsidRPr="000F2D2C">
              <w:rPr>
                <w:rFonts w:ascii="Avenir Next LT Pro" w:hAnsi="Avenir Next LT Pro" w:cs="Arial"/>
                <w:b w:val="0"/>
                <w:bCs/>
                <w:sz w:val="21"/>
                <w:szCs w:val="21"/>
              </w:rPr>
              <w:t>3</w:t>
            </w:r>
          </w:p>
        </w:tc>
        <w:tc>
          <w:tcPr>
            <w:tcW w:w="992" w:type="dxa"/>
            <w:tcBorders>
              <w:top w:val="single" w:sz="4" w:space="0" w:color="9FAAC4"/>
              <w:left w:val="single" w:sz="4" w:space="0" w:color="9FAAC4"/>
              <w:bottom w:val="single" w:sz="4" w:space="0" w:color="9FAAC4"/>
              <w:right w:val="single" w:sz="4" w:space="0" w:color="9FAAC4"/>
            </w:tcBorders>
          </w:tcPr>
          <w:p w14:paraId="61C5DF57" w14:textId="77777777" w:rsidR="00E22B56" w:rsidRPr="000F2D2C" w:rsidRDefault="00E22B56" w:rsidP="00FC6BDA">
            <w:pPr>
              <w:rPr>
                <w:rFonts w:ascii="Avenir Next LT Pro" w:hAnsi="Avenir Next LT Pro" w:cs="Arial"/>
                <w:b w:val="0"/>
                <w:bCs/>
                <w:sz w:val="21"/>
                <w:szCs w:val="21"/>
              </w:rPr>
            </w:pPr>
          </w:p>
        </w:tc>
        <w:tc>
          <w:tcPr>
            <w:tcW w:w="6521" w:type="dxa"/>
            <w:tcBorders>
              <w:top w:val="single" w:sz="4" w:space="0" w:color="9FAAC4"/>
              <w:left w:val="single" w:sz="4" w:space="0" w:color="9FAAC4"/>
              <w:bottom w:val="single" w:sz="4" w:space="0" w:color="9FAAC4"/>
              <w:right w:val="single" w:sz="4" w:space="0" w:color="9FAAC4"/>
            </w:tcBorders>
          </w:tcPr>
          <w:p w14:paraId="21286233" w14:textId="2410A767" w:rsidR="00E22B56" w:rsidRPr="000F2D2C" w:rsidRDefault="00476B5F" w:rsidP="00FC6BDA">
            <w:pPr>
              <w:rPr>
                <w:rFonts w:ascii="Avenir Next LT Pro" w:hAnsi="Avenir Next LT Pro" w:cs="Arial"/>
                <w:b w:val="0"/>
                <w:bCs/>
                <w:sz w:val="21"/>
                <w:szCs w:val="21"/>
              </w:rPr>
            </w:pPr>
            <w:r w:rsidRPr="00476B5F">
              <w:rPr>
                <w:rFonts w:ascii="Avenir Next LT Pro" w:hAnsi="Avenir Next LT Pro" w:cs="Arial"/>
                <w:b w:val="0"/>
                <w:bCs/>
                <w:sz w:val="21"/>
                <w:szCs w:val="21"/>
              </w:rPr>
              <w:t>New employer (transferee) and current employer (transferor) meet with the recognised unions to inform them about the transfer and any proposed measures. EPM will attend on request. (Helpful to arrange this on the same day as the staff meeting - No 4 below).</w:t>
            </w:r>
          </w:p>
        </w:tc>
        <w:tc>
          <w:tcPr>
            <w:tcW w:w="1642" w:type="dxa"/>
            <w:tcBorders>
              <w:top w:val="single" w:sz="4" w:space="0" w:color="9FAAC4"/>
              <w:left w:val="single" w:sz="4" w:space="0" w:color="9FAAC4"/>
              <w:bottom w:val="single" w:sz="4" w:space="0" w:color="9FAAC4"/>
            </w:tcBorders>
          </w:tcPr>
          <w:p w14:paraId="7F15F0A2" w14:textId="2B02B00B" w:rsidR="00E22B56" w:rsidRPr="000F2D2C" w:rsidRDefault="00E22B56" w:rsidP="00FC6BDA">
            <w:pPr>
              <w:rPr>
                <w:rFonts w:ascii="Avenir Next LT Pro" w:hAnsi="Avenir Next LT Pro" w:cs="Arial"/>
                <w:b w:val="0"/>
                <w:bCs/>
                <w:sz w:val="21"/>
                <w:szCs w:val="21"/>
              </w:rPr>
            </w:pPr>
          </w:p>
        </w:tc>
      </w:tr>
      <w:tr w:rsidR="000F2D2C" w:rsidRPr="0099024B" w14:paraId="3D82662F" w14:textId="77777777" w:rsidTr="00D36274">
        <w:trPr>
          <w:cnfStyle w:val="000000010000" w:firstRow="0" w:lastRow="0" w:firstColumn="0" w:lastColumn="0" w:oddVBand="0" w:evenVBand="0" w:oddHBand="0" w:evenHBand="1" w:firstRowFirstColumn="0" w:firstRowLastColumn="0" w:lastRowFirstColumn="0" w:lastRowLastColumn="0"/>
        </w:trPr>
        <w:tc>
          <w:tcPr>
            <w:tcW w:w="709" w:type="dxa"/>
            <w:tcBorders>
              <w:top w:val="single" w:sz="4" w:space="0" w:color="9FAAC4"/>
              <w:bottom w:val="single" w:sz="4" w:space="0" w:color="9FAAC4"/>
              <w:right w:val="single" w:sz="4" w:space="0" w:color="9FAAC4"/>
            </w:tcBorders>
            <w:shd w:val="clear" w:color="auto" w:fill="auto"/>
          </w:tcPr>
          <w:p w14:paraId="3BB2B41A" w14:textId="4C9DCE59" w:rsidR="000F2D2C" w:rsidRPr="000F2D2C" w:rsidRDefault="000F2D2C" w:rsidP="00FC6BDA">
            <w:pPr>
              <w:rPr>
                <w:rFonts w:ascii="Avenir Next LT Pro" w:hAnsi="Avenir Next LT Pro" w:cs="Arial"/>
                <w:b w:val="0"/>
                <w:bCs/>
                <w:sz w:val="21"/>
                <w:szCs w:val="21"/>
              </w:rPr>
            </w:pPr>
            <w:r w:rsidRPr="000F2D2C">
              <w:rPr>
                <w:rFonts w:ascii="Avenir Next LT Pro" w:hAnsi="Avenir Next LT Pro" w:cs="Arial"/>
                <w:b w:val="0"/>
                <w:bCs/>
                <w:sz w:val="21"/>
                <w:szCs w:val="21"/>
              </w:rPr>
              <w:t>4</w:t>
            </w:r>
          </w:p>
        </w:tc>
        <w:tc>
          <w:tcPr>
            <w:tcW w:w="992" w:type="dxa"/>
            <w:tcBorders>
              <w:top w:val="single" w:sz="4" w:space="0" w:color="9FAAC4"/>
              <w:left w:val="single" w:sz="4" w:space="0" w:color="9FAAC4"/>
              <w:bottom w:val="single" w:sz="4" w:space="0" w:color="9FAAC4"/>
              <w:right w:val="single" w:sz="4" w:space="0" w:color="9FAAC4"/>
            </w:tcBorders>
            <w:shd w:val="clear" w:color="auto" w:fill="auto"/>
          </w:tcPr>
          <w:p w14:paraId="51B40C6E" w14:textId="77777777" w:rsidR="000F2D2C" w:rsidRPr="000F2D2C" w:rsidRDefault="000F2D2C" w:rsidP="00FC6BDA">
            <w:pPr>
              <w:rPr>
                <w:rFonts w:ascii="Avenir Next LT Pro" w:hAnsi="Avenir Next LT Pro" w:cs="Arial"/>
                <w:b w:val="0"/>
                <w:bCs/>
                <w:sz w:val="21"/>
                <w:szCs w:val="21"/>
              </w:rPr>
            </w:pPr>
          </w:p>
        </w:tc>
        <w:tc>
          <w:tcPr>
            <w:tcW w:w="6521" w:type="dxa"/>
            <w:tcBorders>
              <w:top w:val="single" w:sz="4" w:space="0" w:color="9FAAC4"/>
              <w:left w:val="single" w:sz="4" w:space="0" w:color="9FAAC4"/>
              <w:bottom w:val="single" w:sz="4" w:space="0" w:color="9FAAC4"/>
              <w:right w:val="single" w:sz="4" w:space="0" w:color="9FAAC4"/>
            </w:tcBorders>
            <w:shd w:val="clear" w:color="auto" w:fill="auto"/>
          </w:tcPr>
          <w:p w14:paraId="2D424A22" w14:textId="77777777" w:rsidR="00110BD2" w:rsidRPr="00110BD2" w:rsidRDefault="00110BD2" w:rsidP="00110BD2">
            <w:pPr>
              <w:spacing w:before="60" w:after="60"/>
              <w:rPr>
                <w:rFonts w:ascii="Avenir Next LT Pro" w:hAnsi="Avenir Next LT Pro" w:cs="Arial"/>
                <w:bCs/>
                <w:sz w:val="21"/>
                <w:szCs w:val="21"/>
              </w:rPr>
            </w:pPr>
            <w:r w:rsidRPr="00110BD2">
              <w:rPr>
                <w:rFonts w:ascii="Avenir Next LT Pro" w:hAnsi="Avenir Next LT Pro" w:cs="Arial"/>
                <w:bCs/>
                <w:sz w:val="21"/>
                <w:szCs w:val="21"/>
              </w:rPr>
              <w:t xml:space="preserve">New employer (transferee) and current employer (transferor) meet with Transferor’s staff to advise them regarding: </w:t>
            </w:r>
          </w:p>
          <w:p w14:paraId="6322C068" w14:textId="77777777" w:rsidR="00110BD2" w:rsidRPr="00110BD2" w:rsidRDefault="00110BD2" w:rsidP="00110BD2">
            <w:pPr>
              <w:spacing w:before="60" w:after="60"/>
              <w:rPr>
                <w:rFonts w:ascii="Avenir Next LT Pro" w:hAnsi="Avenir Next LT Pro" w:cs="Arial"/>
                <w:bCs/>
                <w:sz w:val="21"/>
                <w:szCs w:val="21"/>
              </w:rPr>
            </w:pPr>
            <w:r w:rsidRPr="00110BD2">
              <w:rPr>
                <w:rFonts w:ascii="Avenir Next LT Pro" w:hAnsi="Avenir Next LT Pro" w:cs="Arial"/>
                <w:bCs/>
                <w:sz w:val="21"/>
                <w:szCs w:val="21"/>
              </w:rPr>
              <w:t xml:space="preserve">The transfer and the proposed </w:t>
            </w:r>
            <w:proofErr w:type="gramStart"/>
            <w:r w:rsidRPr="00110BD2">
              <w:rPr>
                <w:rFonts w:ascii="Avenir Next LT Pro" w:hAnsi="Avenir Next LT Pro" w:cs="Arial"/>
                <w:bCs/>
                <w:sz w:val="21"/>
                <w:szCs w:val="21"/>
              </w:rPr>
              <w:t>date;</w:t>
            </w:r>
            <w:proofErr w:type="gramEnd"/>
            <w:r w:rsidRPr="00110BD2">
              <w:rPr>
                <w:rFonts w:ascii="Avenir Next LT Pro" w:hAnsi="Avenir Next LT Pro" w:cs="Arial"/>
                <w:bCs/>
                <w:sz w:val="21"/>
                <w:szCs w:val="21"/>
              </w:rPr>
              <w:t xml:space="preserve"> </w:t>
            </w:r>
          </w:p>
          <w:p w14:paraId="473C4F9D" w14:textId="77777777" w:rsidR="00110BD2" w:rsidRPr="00110BD2" w:rsidRDefault="00110BD2" w:rsidP="00110BD2">
            <w:pPr>
              <w:spacing w:before="60" w:after="60"/>
              <w:rPr>
                <w:rFonts w:ascii="Avenir Next LT Pro" w:hAnsi="Avenir Next LT Pro" w:cs="Arial"/>
                <w:bCs/>
                <w:sz w:val="21"/>
                <w:szCs w:val="21"/>
              </w:rPr>
            </w:pPr>
            <w:r w:rsidRPr="00110BD2">
              <w:rPr>
                <w:rFonts w:ascii="Avenir Next LT Pro" w:hAnsi="Avenir Next LT Pro" w:cs="Arial"/>
                <w:bCs/>
                <w:sz w:val="21"/>
                <w:szCs w:val="21"/>
              </w:rPr>
              <w:t xml:space="preserve">The rationale for the </w:t>
            </w:r>
            <w:proofErr w:type="gramStart"/>
            <w:r w:rsidRPr="00110BD2">
              <w:rPr>
                <w:rFonts w:ascii="Avenir Next LT Pro" w:hAnsi="Avenir Next LT Pro" w:cs="Arial"/>
                <w:bCs/>
                <w:sz w:val="21"/>
                <w:szCs w:val="21"/>
              </w:rPr>
              <w:t>transfer;</w:t>
            </w:r>
            <w:proofErr w:type="gramEnd"/>
            <w:r w:rsidRPr="00110BD2">
              <w:rPr>
                <w:rFonts w:ascii="Avenir Next LT Pro" w:hAnsi="Avenir Next LT Pro" w:cs="Arial"/>
                <w:bCs/>
                <w:sz w:val="21"/>
                <w:szCs w:val="21"/>
              </w:rPr>
              <w:t xml:space="preserve"> </w:t>
            </w:r>
          </w:p>
          <w:p w14:paraId="6FC72135" w14:textId="77777777" w:rsidR="00110BD2" w:rsidRPr="00110BD2" w:rsidRDefault="00110BD2" w:rsidP="00110BD2">
            <w:pPr>
              <w:spacing w:before="60" w:after="60"/>
              <w:rPr>
                <w:rFonts w:ascii="Avenir Next LT Pro" w:hAnsi="Avenir Next LT Pro" w:cs="Arial"/>
                <w:bCs/>
                <w:sz w:val="21"/>
                <w:szCs w:val="21"/>
              </w:rPr>
            </w:pPr>
            <w:r w:rsidRPr="00110BD2">
              <w:rPr>
                <w:rFonts w:ascii="Avenir Next LT Pro" w:hAnsi="Avenir Next LT Pro" w:cs="Arial"/>
                <w:bCs/>
                <w:sz w:val="21"/>
                <w:szCs w:val="21"/>
              </w:rPr>
              <w:t xml:space="preserve">Employment protection provided under </w:t>
            </w:r>
            <w:proofErr w:type="gramStart"/>
            <w:r w:rsidRPr="00110BD2">
              <w:rPr>
                <w:rFonts w:ascii="Avenir Next LT Pro" w:hAnsi="Avenir Next LT Pro" w:cs="Arial"/>
                <w:bCs/>
                <w:sz w:val="21"/>
                <w:szCs w:val="21"/>
              </w:rPr>
              <w:t>TUPE;</w:t>
            </w:r>
            <w:proofErr w:type="gramEnd"/>
            <w:r w:rsidRPr="00110BD2">
              <w:rPr>
                <w:rFonts w:ascii="Avenir Next LT Pro" w:hAnsi="Avenir Next LT Pro" w:cs="Arial"/>
                <w:bCs/>
                <w:sz w:val="21"/>
                <w:szCs w:val="21"/>
              </w:rPr>
              <w:t xml:space="preserve"> </w:t>
            </w:r>
          </w:p>
          <w:p w14:paraId="4551F307" w14:textId="77777777" w:rsidR="00110BD2" w:rsidRPr="00110BD2" w:rsidRDefault="00110BD2" w:rsidP="00110BD2">
            <w:pPr>
              <w:spacing w:before="60" w:after="60"/>
              <w:rPr>
                <w:rFonts w:ascii="Avenir Next LT Pro" w:hAnsi="Avenir Next LT Pro" w:cs="Arial"/>
                <w:bCs/>
                <w:sz w:val="21"/>
                <w:szCs w:val="21"/>
              </w:rPr>
            </w:pPr>
            <w:r w:rsidRPr="00110BD2">
              <w:rPr>
                <w:rFonts w:ascii="Avenir Next LT Pro" w:hAnsi="Avenir Next LT Pro" w:cs="Arial"/>
                <w:bCs/>
                <w:sz w:val="21"/>
                <w:szCs w:val="21"/>
              </w:rPr>
              <w:t xml:space="preserve">Any proposed measures at this </w:t>
            </w:r>
            <w:proofErr w:type="gramStart"/>
            <w:r w:rsidRPr="00110BD2">
              <w:rPr>
                <w:rFonts w:ascii="Avenir Next LT Pro" w:hAnsi="Avenir Next LT Pro" w:cs="Arial"/>
                <w:bCs/>
                <w:sz w:val="21"/>
                <w:szCs w:val="21"/>
              </w:rPr>
              <w:t>stage;</w:t>
            </w:r>
            <w:proofErr w:type="gramEnd"/>
            <w:r w:rsidRPr="00110BD2">
              <w:rPr>
                <w:rFonts w:ascii="Avenir Next LT Pro" w:hAnsi="Avenir Next LT Pro" w:cs="Arial"/>
                <w:bCs/>
                <w:sz w:val="21"/>
                <w:szCs w:val="21"/>
              </w:rPr>
              <w:t xml:space="preserve"> </w:t>
            </w:r>
          </w:p>
          <w:p w14:paraId="73E52849" w14:textId="77777777" w:rsidR="00110BD2" w:rsidRPr="00110BD2" w:rsidRDefault="00110BD2" w:rsidP="00110BD2">
            <w:pPr>
              <w:spacing w:before="60" w:after="60"/>
              <w:rPr>
                <w:rFonts w:ascii="Avenir Next LT Pro" w:hAnsi="Avenir Next LT Pro" w:cs="Arial"/>
                <w:bCs/>
                <w:sz w:val="21"/>
                <w:szCs w:val="21"/>
              </w:rPr>
            </w:pPr>
            <w:r w:rsidRPr="00110BD2">
              <w:rPr>
                <w:rFonts w:ascii="Avenir Next LT Pro" w:hAnsi="Avenir Next LT Pro" w:cs="Arial"/>
                <w:bCs/>
                <w:sz w:val="21"/>
                <w:szCs w:val="21"/>
              </w:rPr>
              <w:t xml:space="preserve">The discussions with trade </w:t>
            </w:r>
            <w:proofErr w:type="gramStart"/>
            <w:r w:rsidRPr="00110BD2">
              <w:rPr>
                <w:rFonts w:ascii="Avenir Next LT Pro" w:hAnsi="Avenir Next LT Pro" w:cs="Arial"/>
                <w:bCs/>
                <w:sz w:val="21"/>
                <w:szCs w:val="21"/>
              </w:rPr>
              <w:t>unions;</w:t>
            </w:r>
            <w:proofErr w:type="gramEnd"/>
            <w:r w:rsidRPr="00110BD2">
              <w:rPr>
                <w:rFonts w:ascii="Avenir Next LT Pro" w:hAnsi="Avenir Next LT Pro" w:cs="Arial"/>
                <w:bCs/>
                <w:sz w:val="21"/>
                <w:szCs w:val="21"/>
              </w:rPr>
              <w:t xml:space="preserve"> </w:t>
            </w:r>
          </w:p>
          <w:p w14:paraId="39476311" w14:textId="77777777" w:rsidR="00110BD2" w:rsidRPr="00110BD2" w:rsidRDefault="00110BD2" w:rsidP="00110BD2">
            <w:pPr>
              <w:spacing w:before="60" w:after="60"/>
              <w:rPr>
                <w:rFonts w:ascii="Avenir Next LT Pro" w:hAnsi="Avenir Next LT Pro" w:cs="Arial"/>
                <w:bCs/>
                <w:sz w:val="21"/>
                <w:szCs w:val="21"/>
              </w:rPr>
            </w:pPr>
            <w:r w:rsidRPr="00110BD2">
              <w:rPr>
                <w:rFonts w:ascii="Avenir Next LT Pro" w:hAnsi="Avenir Next LT Pro" w:cs="Arial"/>
                <w:bCs/>
                <w:sz w:val="21"/>
                <w:szCs w:val="21"/>
              </w:rPr>
              <w:t xml:space="preserve">Data to be shared with the Trust by the transferor; management arrangements post transfer and any other practical changes e.g., change in uniform. </w:t>
            </w:r>
          </w:p>
          <w:p w14:paraId="034DC0A4" w14:textId="02B06868" w:rsidR="000F2D2C" w:rsidRPr="00D36274" w:rsidRDefault="00110BD2" w:rsidP="00110BD2">
            <w:pPr>
              <w:rPr>
                <w:rFonts w:ascii="Avenir Next LT Pro" w:hAnsi="Avenir Next LT Pro" w:cs="Arial"/>
                <w:b w:val="0"/>
                <w:sz w:val="21"/>
                <w:szCs w:val="21"/>
              </w:rPr>
            </w:pPr>
            <w:r w:rsidRPr="00D36274">
              <w:rPr>
                <w:rFonts w:ascii="Avenir Next LT Pro" w:hAnsi="Avenir Next LT Pro" w:cs="Arial"/>
                <w:b w:val="0"/>
                <w:sz w:val="21"/>
                <w:szCs w:val="21"/>
              </w:rPr>
              <w:t>Staff to be given the opportunity to ask any questions. Union representatives can be present at the staff briefing. EPM will attend on request.</w:t>
            </w:r>
          </w:p>
        </w:tc>
        <w:tc>
          <w:tcPr>
            <w:tcW w:w="1642" w:type="dxa"/>
            <w:tcBorders>
              <w:top w:val="single" w:sz="4" w:space="0" w:color="9FAAC4"/>
              <w:left w:val="single" w:sz="4" w:space="0" w:color="9FAAC4"/>
              <w:bottom w:val="single" w:sz="4" w:space="0" w:color="9FAAC4"/>
            </w:tcBorders>
            <w:shd w:val="clear" w:color="auto" w:fill="auto"/>
          </w:tcPr>
          <w:p w14:paraId="58E3FD89" w14:textId="77777777" w:rsidR="000F2D2C" w:rsidRPr="000F2D2C" w:rsidRDefault="000F2D2C" w:rsidP="00FC6BDA">
            <w:pPr>
              <w:rPr>
                <w:rFonts w:ascii="Avenir Next LT Pro" w:hAnsi="Avenir Next LT Pro" w:cs="Arial"/>
                <w:b w:val="0"/>
                <w:bCs/>
                <w:sz w:val="21"/>
                <w:szCs w:val="21"/>
              </w:rPr>
            </w:pPr>
          </w:p>
        </w:tc>
      </w:tr>
      <w:tr w:rsidR="000F2D2C" w:rsidRPr="0099024B" w14:paraId="55B00B47" w14:textId="77777777" w:rsidTr="00D36274">
        <w:tc>
          <w:tcPr>
            <w:tcW w:w="709" w:type="dxa"/>
            <w:tcBorders>
              <w:top w:val="single" w:sz="4" w:space="0" w:color="9FAAC4"/>
              <w:bottom w:val="single" w:sz="4" w:space="0" w:color="9FAAC4"/>
              <w:right w:val="single" w:sz="4" w:space="0" w:color="9FAAC4"/>
            </w:tcBorders>
          </w:tcPr>
          <w:p w14:paraId="4E96FBC1" w14:textId="5D01FD8E" w:rsidR="000F2D2C" w:rsidRPr="000F2D2C" w:rsidRDefault="000F2D2C" w:rsidP="00FC6BDA">
            <w:pPr>
              <w:rPr>
                <w:rFonts w:ascii="Avenir Next LT Pro" w:hAnsi="Avenir Next LT Pro" w:cs="Arial"/>
                <w:b w:val="0"/>
                <w:bCs/>
                <w:sz w:val="21"/>
                <w:szCs w:val="21"/>
              </w:rPr>
            </w:pPr>
            <w:r w:rsidRPr="000F2D2C">
              <w:rPr>
                <w:rFonts w:ascii="Avenir Next LT Pro" w:hAnsi="Avenir Next LT Pro" w:cs="Arial"/>
                <w:b w:val="0"/>
                <w:bCs/>
                <w:sz w:val="21"/>
                <w:szCs w:val="21"/>
              </w:rPr>
              <w:t>5</w:t>
            </w:r>
          </w:p>
        </w:tc>
        <w:tc>
          <w:tcPr>
            <w:tcW w:w="992" w:type="dxa"/>
            <w:tcBorders>
              <w:top w:val="single" w:sz="4" w:space="0" w:color="9FAAC4"/>
              <w:left w:val="single" w:sz="4" w:space="0" w:color="9FAAC4"/>
              <w:bottom w:val="single" w:sz="4" w:space="0" w:color="9FAAC4"/>
              <w:right w:val="single" w:sz="4" w:space="0" w:color="9FAAC4"/>
            </w:tcBorders>
          </w:tcPr>
          <w:p w14:paraId="1144FD6C" w14:textId="77777777" w:rsidR="000F2D2C" w:rsidRPr="000F2D2C" w:rsidRDefault="000F2D2C" w:rsidP="00FC6BDA">
            <w:pPr>
              <w:rPr>
                <w:rFonts w:ascii="Avenir Next LT Pro" w:hAnsi="Avenir Next LT Pro" w:cs="Arial"/>
                <w:b w:val="0"/>
                <w:bCs/>
                <w:sz w:val="21"/>
                <w:szCs w:val="21"/>
              </w:rPr>
            </w:pPr>
          </w:p>
        </w:tc>
        <w:tc>
          <w:tcPr>
            <w:tcW w:w="6521" w:type="dxa"/>
            <w:tcBorders>
              <w:top w:val="single" w:sz="4" w:space="0" w:color="9FAAC4"/>
              <w:left w:val="single" w:sz="4" w:space="0" w:color="9FAAC4"/>
              <w:bottom w:val="single" w:sz="4" w:space="0" w:color="9FAAC4"/>
              <w:right w:val="single" w:sz="4" w:space="0" w:color="9FAAC4"/>
            </w:tcBorders>
          </w:tcPr>
          <w:p w14:paraId="1EBAD7B3" w14:textId="57FCD47D" w:rsidR="000F2D2C" w:rsidRPr="000F2D2C" w:rsidRDefault="00783531" w:rsidP="00FC6BDA">
            <w:pPr>
              <w:rPr>
                <w:rFonts w:ascii="Avenir Next LT Pro" w:hAnsi="Avenir Next LT Pro" w:cs="Arial"/>
                <w:b w:val="0"/>
                <w:bCs/>
                <w:sz w:val="21"/>
                <w:szCs w:val="21"/>
              </w:rPr>
            </w:pPr>
            <w:r w:rsidRPr="00783531">
              <w:rPr>
                <w:rFonts w:ascii="Avenir Next LT Pro" w:hAnsi="Avenir Next LT Pro" w:cs="Arial"/>
                <w:b w:val="0"/>
                <w:bCs/>
                <w:sz w:val="21"/>
                <w:szCs w:val="21"/>
              </w:rPr>
              <w:t>New employer (transferee) asks current employer (transferor) to provide employee liability information (ELI) and where applicable asks further due diligence questions. Current employer is advised to check transfer data with employees. Legally the information must be provided to the new employer at least 28 days prior to the date of transfer.</w:t>
            </w:r>
          </w:p>
        </w:tc>
        <w:tc>
          <w:tcPr>
            <w:tcW w:w="1642" w:type="dxa"/>
            <w:tcBorders>
              <w:top w:val="single" w:sz="4" w:space="0" w:color="9FAAC4"/>
              <w:left w:val="single" w:sz="4" w:space="0" w:color="9FAAC4"/>
              <w:bottom w:val="single" w:sz="4" w:space="0" w:color="9FAAC4"/>
            </w:tcBorders>
          </w:tcPr>
          <w:p w14:paraId="00F1C21A" w14:textId="77777777" w:rsidR="000F2D2C" w:rsidRPr="000F2D2C" w:rsidRDefault="000F2D2C" w:rsidP="00FC6BDA">
            <w:pPr>
              <w:rPr>
                <w:rFonts w:ascii="Avenir Next LT Pro" w:hAnsi="Avenir Next LT Pro" w:cs="Arial"/>
                <w:b w:val="0"/>
                <w:bCs/>
                <w:sz w:val="21"/>
                <w:szCs w:val="21"/>
              </w:rPr>
            </w:pPr>
          </w:p>
        </w:tc>
      </w:tr>
      <w:tr w:rsidR="000F2D2C" w:rsidRPr="0099024B" w14:paraId="67881034" w14:textId="77777777" w:rsidTr="00D36274">
        <w:trPr>
          <w:cnfStyle w:val="000000010000" w:firstRow="0" w:lastRow="0" w:firstColumn="0" w:lastColumn="0" w:oddVBand="0" w:evenVBand="0" w:oddHBand="0" w:evenHBand="1" w:firstRowFirstColumn="0" w:firstRowLastColumn="0" w:lastRowFirstColumn="0" w:lastRowLastColumn="0"/>
        </w:trPr>
        <w:tc>
          <w:tcPr>
            <w:tcW w:w="709" w:type="dxa"/>
            <w:tcBorders>
              <w:top w:val="single" w:sz="4" w:space="0" w:color="9FAAC4"/>
              <w:bottom w:val="single" w:sz="4" w:space="0" w:color="9FAAC4"/>
              <w:right w:val="single" w:sz="4" w:space="0" w:color="9FAAC4"/>
            </w:tcBorders>
            <w:shd w:val="clear" w:color="auto" w:fill="auto"/>
          </w:tcPr>
          <w:p w14:paraId="5DAD8699" w14:textId="30690688" w:rsidR="000F2D2C" w:rsidRPr="000F2D2C" w:rsidRDefault="000F2D2C" w:rsidP="00FC6BDA">
            <w:pPr>
              <w:rPr>
                <w:rFonts w:ascii="Avenir Next LT Pro" w:hAnsi="Avenir Next LT Pro" w:cs="Arial"/>
                <w:b w:val="0"/>
                <w:bCs/>
                <w:sz w:val="21"/>
                <w:szCs w:val="21"/>
              </w:rPr>
            </w:pPr>
            <w:r w:rsidRPr="000F2D2C">
              <w:rPr>
                <w:rFonts w:ascii="Avenir Next LT Pro" w:hAnsi="Avenir Next LT Pro" w:cs="Arial"/>
                <w:b w:val="0"/>
                <w:bCs/>
                <w:sz w:val="21"/>
                <w:szCs w:val="21"/>
              </w:rPr>
              <w:t>6</w:t>
            </w:r>
          </w:p>
        </w:tc>
        <w:tc>
          <w:tcPr>
            <w:tcW w:w="992" w:type="dxa"/>
            <w:tcBorders>
              <w:top w:val="single" w:sz="4" w:space="0" w:color="9FAAC4"/>
              <w:left w:val="single" w:sz="4" w:space="0" w:color="9FAAC4"/>
              <w:bottom w:val="single" w:sz="4" w:space="0" w:color="9FAAC4"/>
              <w:right w:val="single" w:sz="4" w:space="0" w:color="9FAAC4"/>
            </w:tcBorders>
            <w:shd w:val="clear" w:color="auto" w:fill="auto"/>
          </w:tcPr>
          <w:p w14:paraId="65117EC9" w14:textId="77777777" w:rsidR="000F2D2C" w:rsidRPr="000F2D2C" w:rsidRDefault="000F2D2C" w:rsidP="00FC6BDA">
            <w:pPr>
              <w:rPr>
                <w:rFonts w:ascii="Avenir Next LT Pro" w:hAnsi="Avenir Next LT Pro" w:cs="Arial"/>
                <w:b w:val="0"/>
                <w:bCs/>
                <w:sz w:val="21"/>
                <w:szCs w:val="21"/>
              </w:rPr>
            </w:pPr>
          </w:p>
        </w:tc>
        <w:tc>
          <w:tcPr>
            <w:tcW w:w="6521" w:type="dxa"/>
            <w:tcBorders>
              <w:top w:val="single" w:sz="4" w:space="0" w:color="9FAAC4"/>
              <w:left w:val="single" w:sz="4" w:space="0" w:color="9FAAC4"/>
              <w:bottom w:val="single" w:sz="4" w:space="0" w:color="9FAAC4"/>
              <w:right w:val="single" w:sz="4" w:space="0" w:color="9FAAC4"/>
            </w:tcBorders>
            <w:shd w:val="clear" w:color="auto" w:fill="auto"/>
          </w:tcPr>
          <w:p w14:paraId="6B39D1BD" w14:textId="1A6D2123" w:rsidR="000F2D2C" w:rsidRPr="000F2D2C" w:rsidRDefault="00093216" w:rsidP="00FC6BDA">
            <w:pPr>
              <w:rPr>
                <w:rFonts w:ascii="Avenir Next LT Pro" w:hAnsi="Avenir Next LT Pro" w:cs="Arial"/>
                <w:b w:val="0"/>
                <w:bCs/>
                <w:sz w:val="21"/>
                <w:szCs w:val="21"/>
              </w:rPr>
            </w:pPr>
            <w:r w:rsidRPr="00093216">
              <w:rPr>
                <w:rFonts w:ascii="Avenir Next LT Pro" w:hAnsi="Avenir Next LT Pro" w:cs="Arial"/>
                <w:b w:val="0"/>
                <w:bCs/>
                <w:sz w:val="21"/>
                <w:szCs w:val="21"/>
              </w:rPr>
              <w:t>New employer (transferee) provides current employer (transferor) with payroll spreadsheet detailing what employee information is required for payroll purposes.</w:t>
            </w:r>
          </w:p>
        </w:tc>
        <w:tc>
          <w:tcPr>
            <w:tcW w:w="1642" w:type="dxa"/>
            <w:tcBorders>
              <w:top w:val="single" w:sz="4" w:space="0" w:color="9FAAC4"/>
              <w:left w:val="single" w:sz="4" w:space="0" w:color="9FAAC4"/>
              <w:bottom w:val="single" w:sz="4" w:space="0" w:color="9FAAC4"/>
            </w:tcBorders>
            <w:shd w:val="clear" w:color="auto" w:fill="auto"/>
          </w:tcPr>
          <w:p w14:paraId="24302F01" w14:textId="77777777" w:rsidR="000F2D2C" w:rsidRPr="000F2D2C" w:rsidRDefault="000F2D2C" w:rsidP="00FC6BDA">
            <w:pPr>
              <w:rPr>
                <w:rFonts w:ascii="Avenir Next LT Pro" w:hAnsi="Avenir Next LT Pro" w:cs="Arial"/>
                <w:b w:val="0"/>
                <w:bCs/>
                <w:sz w:val="21"/>
                <w:szCs w:val="21"/>
              </w:rPr>
            </w:pPr>
          </w:p>
        </w:tc>
      </w:tr>
      <w:tr w:rsidR="000F2D2C" w:rsidRPr="0099024B" w14:paraId="417B796B" w14:textId="77777777" w:rsidTr="00D36274">
        <w:tc>
          <w:tcPr>
            <w:tcW w:w="709" w:type="dxa"/>
            <w:tcBorders>
              <w:top w:val="single" w:sz="4" w:space="0" w:color="9FAAC4"/>
              <w:bottom w:val="single" w:sz="4" w:space="0" w:color="9FAAC4"/>
              <w:right w:val="single" w:sz="4" w:space="0" w:color="9FAAC4"/>
            </w:tcBorders>
          </w:tcPr>
          <w:p w14:paraId="15CD77F7" w14:textId="482C4FFF" w:rsidR="000F2D2C" w:rsidRPr="000F2D2C" w:rsidRDefault="000F2D2C" w:rsidP="00FC6BDA">
            <w:pPr>
              <w:rPr>
                <w:rFonts w:ascii="Avenir Next LT Pro" w:hAnsi="Avenir Next LT Pro" w:cs="Arial"/>
                <w:b w:val="0"/>
                <w:bCs/>
                <w:sz w:val="21"/>
                <w:szCs w:val="21"/>
              </w:rPr>
            </w:pPr>
            <w:r w:rsidRPr="000F2D2C">
              <w:rPr>
                <w:rFonts w:ascii="Avenir Next LT Pro" w:hAnsi="Avenir Next LT Pro" w:cs="Arial"/>
                <w:b w:val="0"/>
                <w:bCs/>
                <w:sz w:val="21"/>
                <w:szCs w:val="21"/>
              </w:rPr>
              <w:t>7</w:t>
            </w:r>
          </w:p>
        </w:tc>
        <w:tc>
          <w:tcPr>
            <w:tcW w:w="992" w:type="dxa"/>
            <w:tcBorders>
              <w:top w:val="single" w:sz="4" w:space="0" w:color="9FAAC4"/>
              <w:left w:val="single" w:sz="4" w:space="0" w:color="9FAAC4"/>
              <w:bottom w:val="single" w:sz="4" w:space="0" w:color="9FAAC4"/>
              <w:right w:val="single" w:sz="4" w:space="0" w:color="9FAAC4"/>
            </w:tcBorders>
          </w:tcPr>
          <w:p w14:paraId="06800205" w14:textId="77777777" w:rsidR="000F2D2C" w:rsidRPr="000F2D2C" w:rsidRDefault="000F2D2C" w:rsidP="00FC6BDA">
            <w:pPr>
              <w:rPr>
                <w:rFonts w:ascii="Avenir Next LT Pro" w:hAnsi="Avenir Next LT Pro" w:cs="Arial"/>
                <w:b w:val="0"/>
                <w:bCs/>
                <w:sz w:val="21"/>
                <w:szCs w:val="21"/>
              </w:rPr>
            </w:pPr>
          </w:p>
        </w:tc>
        <w:tc>
          <w:tcPr>
            <w:tcW w:w="6521" w:type="dxa"/>
            <w:tcBorders>
              <w:top w:val="single" w:sz="4" w:space="0" w:color="9FAAC4"/>
              <w:left w:val="single" w:sz="4" w:space="0" w:color="9FAAC4"/>
              <w:bottom w:val="single" w:sz="4" w:space="0" w:color="9FAAC4"/>
              <w:right w:val="single" w:sz="4" w:space="0" w:color="9FAAC4"/>
            </w:tcBorders>
          </w:tcPr>
          <w:p w14:paraId="77DA31A3" w14:textId="23C2B271" w:rsidR="000F2D2C" w:rsidRPr="000F2D2C" w:rsidRDefault="00A71A35" w:rsidP="00FC6BDA">
            <w:pPr>
              <w:rPr>
                <w:rFonts w:ascii="Avenir Next LT Pro" w:hAnsi="Avenir Next LT Pro" w:cs="Arial"/>
                <w:b w:val="0"/>
                <w:bCs/>
                <w:sz w:val="21"/>
                <w:szCs w:val="21"/>
              </w:rPr>
            </w:pPr>
            <w:r w:rsidRPr="00A71A35">
              <w:rPr>
                <w:rFonts w:ascii="Avenir Next LT Pro" w:hAnsi="Avenir Next LT Pro" w:cs="Arial"/>
                <w:b w:val="0"/>
                <w:bCs/>
                <w:sz w:val="21"/>
                <w:szCs w:val="21"/>
              </w:rPr>
              <w:t>If not already in place, new employer (transferee) opens a bank account in the new employer’s name. Ensure a new BACS number is set up with the account.</w:t>
            </w:r>
          </w:p>
        </w:tc>
        <w:tc>
          <w:tcPr>
            <w:tcW w:w="1642" w:type="dxa"/>
            <w:tcBorders>
              <w:top w:val="single" w:sz="4" w:space="0" w:color="9FAAC4"/>
              <w:left w:val="single" w:sz="4" w:space="0" w:color="9FAAC4"/>
              <w:bottom w:val="single" w:sz="4" w:space="0" w:color="9FAAC4"/>
            </w:tcBorders>
          </w:tcPr>
          <w:p w14:paraId="08AF206C" w14:textId="77777777" w:rsidR="000F2D2C" w:rsidRPr="000F2D2C" w:rsidRDefault="000F2D2C" w:rsidP="00FC6BDA">
            <w:pPr>
              <w:rPr>
                <w:rFonts w:ascii="Avenir Next LT Pro" w:hAnsi="Avenir Next LT Pro" w:cs="Arial"/>
                <w:b w:val="0"/>
                <w:bCs/>
                <w:sz w:val="21"/>
                <w:szCs w:val="21"/>
              </w:rPr>
            </w:pPr>
          </w:p>
        </w:tc>
      </w:tr>
      <w:tr w:rsidR="000F2D2C" w:rsidRPr="0099024B" w14:paraId="2CDD371A" w14:textId="77777777" w:rsidTr="00D36274">
        <w:trPr>
          <w:cnfStyle w:val="000000010000" w:firstRow="0" w:lastRow="0" w:firstColumn="0" w:lastColumn="0" w:oddVBand="0" w:evenVBand="0" w:oddHBand="0" w:evenHBand="1" w:firstRowFirstColumn="0" w:firstRowLastColumn="0" w:lastRowFirstColumn="0" w:lastRowLastColumn="0"/>
        </w:trPr>
        <w:tc>
          <w:tcPr>
            <w:tcW w:w="709" w:type="dxa"/>
            <w:tcBorders>
              <w:top w:val="single" w:sz="4" w:space="0" w:color="9FAAC4"/>
              <w:bottom w:val="single" w:sz="4" w:space="0" w:color="9FAAC4"/>
              <w:right w:val="single" w:sz="4" w:space="0" w:color="9FAAC4"/>
            </w:tcBorders>
            <w:shd w:val="clear" w:color="auto" w:fill="auto"/>
          </w:tcPr>
          <w:p w14:paraId="38EDE1D4" w14:textId="6705B324" w:rsidR="000F2D2C" w:rsidRPr="000F2D2C" w:rsidRDefault="000F2D2C" w:rsidP="00FC6BDA">
            <w:pPr>
              <w:rPr>
                <w:rFonts w:ascii="Avenir Next LT Pro" w:hAnsi="Avenir Next LT Pro" w:cs="Arial"/>
                <w:b w:val="0"/>
                <w:bCs/>
                <w:sz w:val="21"/>
                <w:szCs w:val="21"/>
              </w:rPr>
            </w:pPr>
            <w:r w:rsidRPr="000F2D2C">
              <w:rPr>
                <w:rFonts w:ascii="Avenir Next LT Pro" w:hAnsi="Avenir Next LT Pro" w:cs="Arial"/>
                <w:b w:val="0"/>
                <w:bCs/>
                <w:sz w:val="21"/>
                <w:szCs w:val="21"/>
              </w:rPr>
              <w:t>8</w:t>
            </w:r>
          </w:p>
        </w:tc>
        <w:tc>
          <w:tcPr>
            <w:tcW w:w="992" w:type="dxa"/>
            <w:tcBorders>
              <w:top w:val="single" w:sz="4" w:space="0" w:color="9FAAC4"/>
              <w:left w:val="single" w:sz="4" w:space="0" w:color="9FAAC4"/>
              <w:bottom w:val="single" w:sz="4" w:space="0" w:color="9FAAC4"/>
              <w:right w:val="single" w:sz="4" w:space="0" w:color="9FAAC4"/>
            </w:tcBorders>
            <w:shd w:val="clear" w:color="auto" w:fill="auto"/>
          </w:tcPr>
          <w:p w14:paraId="18FD4155" w14:textId="77777777" w:rsidR="000F2D2C" w:rsidRPr="000F2D2C" w:rsidRDefault="000F2D2C" w:rsidP="00FC6BDA">
            <w:pPr>
              <w:rPr>
                <w:rFonts w:ascii="Avenir Next LT Pro" w:hAnsi="Avenir Next LT Pro" w:cs="Arial"/>
                <w:b w:val="0"/>
                <w:bCs/>
                <w:sz w:val="21"/>
                <w:szCs w:val="21"/>
              </w:rPr>
            </w:pPr>
          </w:p>
        </w:tc>
        <w:tc>
          <w:tcPr>
            <w:tcW w:w="6521" w:type="dxa"/>
            <w:tcBorders>
              <w:top w:val="single" w:sz="4" w:space="0" w:color="9FAAC4"/>
              <w:left w:val="single" w:sz="4" w:space="0" w:color="9FAAC4"/>
              <w:bottom w:val="single" w:sz="4" w:space="0" w:color="9FAAC4"/>
              <w:right w:val="single" w:sz="4" w:space="0" w:color="9FAAC4"/>
            </w:tcBorders>
            <w:shd w:val="clear" w:color="auto" w:fill="auto"/>
          </w:tcPr>
          <w:p w14:paraId="46C02003" w14:textId="44262C37" w:rsidR="000F2D2C" w:rsidRPr="000F2D2C" w:rsidRDefault="00DC28E7" w:rsidP="00FC6BDA">
            <w:pPr>
              <w:rPr>
                <w:rFonts w:ascii="Avenir Next LT Pro" w:hAnsi="Avenir Next LT Pro" w:cs="Arial"/>
                <w:b w:val="0"/>
                <w:bCs/>
                <w:sz w:val="21"/>
                <w:szCs w:val="21"/>
              </w:rPr>
            </w:pPr>
            <w:r w:rsidRPr="00DC28E7">
              <w:rPr>
                <w:rFonts w:ascii="Avenir Next LT Pro" w:hAnsi="Avenir Next LT Pro" w:cs="Arial"/>
                <w:b w:val="0"/>
                <w:bCs/>
                <w:sz w:val="21"/>
                <w:szCs w:val="21"/>
              </w:rPr>
              <w:t>Payroll spreadsheet to be completed by transferor and sent to new employer along with P45s.</w:t>
            </w:r>
          </w:p>
        </w:tc>
        <w:tc>
          <w:tcPr>
            <w:tcW w:w="1642" w:type="dxa"/>
            <w:tcBorders>
              <w:top w:val="single" w:sz="4" w:space="0" w:color="9FAAC4"/>
              <w:left w:val="single" w:sz="4" w:space="0" w:color="9FAAC4"/>
              <w:bottom w:val="single" w:sz="4" w:space="0" w:color="9FAAC4"/>
            </w:tcBorders>
            <w:shd w:val="clear" w:color="auto" w:fill="auto"/>
          </w:tcPr>
          <w:p w14:paraId="5398ED87" w14:textId="77777777" w:rsidR="000F2D2C" w:rsidRPr="000F2D2C" w:rsidRDefault="000F2D2C" w:rsidP="00FC6BDA">
            <w:pPr>
              <w:rPr>
                <w:rFonts w:ascii="Avenir Next LT Pro" w:hAnsi="Avenir Next LT Pro" w:cs="Arial"/>
                <w:b w:val="0"/>
                <w:bCs/>
                <w:sz w:val="21"/>
                <w:szCs w:val="21"/>
              </w:rPr>
            </w:pPr>
          </w:p>
        </w:tc>
      </w:tr>
      <w:tr w:rsidR="000F2D2C" w:rsidRPr="0099024B" w14:paraId="2E926C99" w14:textId="77777777" w:rsidTr="00D36274">
        <w:tc>
          <w:tcPr>
            <w:tcW w:w="709" w:type="dxa"/>
            <w:tcBorders>
              <w:top w:val="single" w:sz="4" w:space="0" w:color="9FAAC4"/>
              <w:bottom w:val="single" w:sz="4" w:space="0" w:color="9FAAC4"/>
              <w:right w:val="single" w:sz="4" w:space="0" w:color="9FAAC4"/>
            </w:tcBorders>
          </w:tcPr>
          <w:p w14:paraId="3D9798DE" w14:textId="60B64D2F" w:rsidR="000F2D2C" w:rsidRPr="000F2D2C" w:rsidRDefault="000F2D2C" w:rsidP="00FC6BDA">
            <w:pPr>
              <w:rPr>
                <w:rFonts w:ascii="Avenir Next LT Pro" w:hAnsi="Avenir Next LT Pro" w:cs="Arial"/>
                <w:b w:val="0"/>
                <w:bCs/>
                <w:sz w:val="21"/>
                <w:szCs w:val="21"/>
              </w:rPr>
            </w:pPr>
            <w:r w:rsidRPr="000F2D2C">
              <w:rPr>
                <w:rFonts w:ascii="Avenir Next LT Pro" w:hAnsi="Avenir Next LT Pro" w:cs="Arial"/>
                <w:b w:val="0"/>
                <w:bCs/>
                <w:sz w:val="21"/>
                <w:szCs w:val="21"/>
              </w:rPr>
              <w:t>9</w:t>
            </w:r>
          </w:p>
        </w:tc>
        <w:tc>
          <w:tcPr>
            <w:tcW w:w="992" w:type="dxa"/>
            <w:tcBorders>
              <w:top w:val="single" w:sz="4" w:space="0" w:color="9FAAC4"/>
              <w:left w:val="single" w:sz="4" w:space="0" w:color="9FAAC4"/>
              <w:bottom w:val="single" w:sz="4" w:space="0" w:color="9FAAC4"/>
              <w:right w:val="single" w:sz="4" w:space="0" w:color="9FAAC4"/>
            </w:tcBorders>
          </w:tcPr>
          <w:p w14:paraId="7BD04DDE" w14:textId="77777777" w:rsidR="000F2D2C" w:rsidRPr="000F2D2C" w:rsidRDefault="000F2D2C" w:rsidP="00FC6BDA">
            <w:pPr>
              <w:rPr>
                <w:rFonts w:ascii="Avenir Next LT Pro" w:hAnsi="Avenir Next LT Pro" w:cs="Arial"/>
                <w:b w:val="0"/>
                <w:bCs/>
                <w:sz w:val="21"/>
                <w:szCs w:val="21"/>
              </w:rPr>
            </w:pPr>
          </w:p>
        </w:tc>
        <w:tc>
          <w:tcPr>
            <w:tcW w:w="6521" w:type="dxa"/>
            <w:tcBorders>
              <w:top w:val="single" w:sz="4" w:space="0" w:color="9FAAC4"/>
              <w:left w:val="single" w:sz="4" w:space="0" w:color="9FAAC4"/>
              <w:bottom w:val="single" w:sz="4" w:space="0" w:color="9FAAC4"/>
              <w:right w:val="single" w:sz="4" w:space="0" w:color="9FAAC4"/>
            </w:tcBorders>
          </w:tcPr>
          <w:p w14:paraId="639CB0CF" w14:textId="77777777" w:rsidR="009F6387" w:rsidRPr="009F6387" w:rsidRDefault="009F6387" w:rsidP="009F6387">
            <w:pPr>
              <w:spacing w:before="60" w:after="60"/>
              <w:rPr>
                <w:rFonts w:ascii="Avenir Next LT Pro" w:hAnsi="Avenir Next LT Pro" w:cs="Arial"/>
                <w:bCs/>
                <w:sz w:val="21"/>
                <w:szCs w:val="21"/>
              </w:rPr>
            </w:pPr>
            <w:r w:rsidRPr="009F6387">
              <w:rPr>
                <w:rFonts w:ascii="Avenir Next LT Pro" w:hAnsi="Avenir Next LT Pro" w:cs="Arial"/>
                <w:bCs/>
                <w:sz w:val="21"/>
                <w:szCs w:val="21"/>
              </w:rPr>
              <w:t xml:space="preserve">New employer (if not already an Academy) </w:t>
            </w:r>
          </w:p>
          <w:p w14:paraId="0D37CFF1" w14:textId="77777777" w:rsidR="009F6387" w:rsidRPr="009F6387" w:rsidRDefault="009F6387" w:rsidP="009F6387">
            <w:pPr>
              <w:spacing w:before="60" w:after="60"/>
              <w:rPr>
                <w:rFonts w:ascii="Avenir Next LT Pro" w:hAnsi="Avenir Next LT Pro" w:cs="Arial"/>
                <w:bCs/>
                <w:sz w:val="21"/>
                <w:szCs w:val="21"/>
              </w:rPr>
            </w:pPr>
            <w:r w:rsidRPr="009F6387">
              <w:rPr>
                <w:rFonts w:ascii="Avenir Next LT Pro" w:hAnsi="Avenir Next LT Pro" w:cs="Arial"/>
                <w:bCs/>
                <w:sz w:val="21"/>
                <w:szCs w:val="21"/>
              </w:rPr>
              <w:t xml:space="preserve">Contact TPS </w:t>
            </w:r>
          </w:p>
          <w:p w14:paraId="313102C1" w14:textId="77777777" w:rsidR="009F6387" w:rsidRPr="009F6387" w:rsidRDefault="009F6387" w:rsidP="009F6387">
            <w:pPr>
              <w:spacing w:before="60" w:after="60"/>
              <w:rPr>
                <w:rFonts w:ascii="Avenir Next LT Pro" w:hAnsi="Avenir Next LT Pro" w:cs="Arial"/>
                <w:bCs/>
                <w:sz w:val="21"/>
                <w:szCs w:val="21"/>
              </w:rPr>
            </w:pPr>
            <w:r w:rsidRPr="009F6387">
              <w:rPr>
                <w:rFonts w:ascii="Avenir Next LT Pro" w:hAnsi="Avenir Next LT Pro" w:cs="Arial"/>
                <w:bCs/>
                <w:sz w:val="21"/>
                <w:szCs w:val="21"/>
              </w:rPr>
              <w:t xml:space="preserve">Advise of conversion to Academy Status and set up login details for the STU (please forward to EPM if you wish us to access STU on your behalf). </w:t>
            </w:r>
          </w:p>
          <w:p w14:paraId="4043746A" w14:textId="77777777" w:rsidR="009F6387" w:rsidRPr="009F6387" w:rsidRDefault="009F6387" w:rsidP="009F6387">
            <w:pPr>
              <w:spacing w:before="60" w:after="60"/>
              <w:rPr>
                <w:rFonts w:ascii="Avenir Next LT Pro" w:hAnsi="Avenir Next LT Pro" w:cs="Arial"/>
                <w:bCs/>
                <w:sz w:val="21"/>
                <w:szCs w:val="21"/>
              </w:rPr>
            </w:pPr>
            <w:r w:rsidRPr="009F6387">
              <w:rPr>
                <w:rFonts w:ascii="Avenir Next LT Pro" w:hAnsi="Avenir Next LT Pro" w:cs="Arial"/>
                <w:bCs/>
                <w:sz w:val="21"/>
                <w:szCs w:val="21"/>
              </w:rPr>
              <w:t xml:space="preserve">Contact LGPS </w:t>
            </w:r>
          </w:p>
          <w:p w14:paraId="76D5D93A" w14:textId="77777777" w:rsidR="009F6387" w:rsidRPr="009F6387" w:rsidRDefault="009F6387" w:rsidP="009F6387">
            <w:pPr>
              <w:spacing w:before="60" w:after="60"/>
              <w:rPr>
                <w:rFonts w:ascii="Avenir Next LT Pro" w:hAnsi="Avenir Next LT Pro" w:cs="Arial"/>
                <w:bCs/>
                <w:sz w:val="21"/>
                <w:szCs w:val="21"/>
              </w:rPr>
            </w:pPr>
            <w:r w:rsidRPr="009F6387">
              <w:rPr>
                <w:rFonts w:ascii="Avenir Next LT Pro" w:hAnsi="Avenir Next LT Pro" w:cs="Arial"/>
                <w:bCs/>
                <w:sz w:val="21"/>
                <w:szCs w:val="21"/>
              </w:rPr>
              <w:t xml:space="preserve">Advise LGPS of the Academy conversion and seek confirmation of employer pension contribution rate. </w:t>
            </w:r>
          </w:p>
          <w:p w14:paraId="04FB744B" w14:textId="77777777" w:rsidR="009F6387" w:rsidRPr="009F6387" w:rsidRDefault="009F6387" w:rsidP="009F6387">
            <w:pPr>
              <w:spacing w:before="60" w:after="60"/>
              <w:rPr>
                <w:rFonts w:ascii="Avenir Next LT Pro" w:hAnsi="Avenir Next LT Pro" w:cs="Arial"/>
                <w:bCs/>
                <w:sz w:val="21"/>
                <w:szCs w:val="21"/>
              </w:rPr>
            </w:pPr>
            <w:r w:rsidRPr="009F6387">
              <w:rPr>
                <w:rFonts w:ascii="Avenir Next LT Pro" w:hAnsi="Avenir Next LT Pro" w:cs="Arial"/>
                <w:bCs/>
                <w:sz w:val="21"/>
                <w:szCs w:val="21"/>
              </w:rPr>
              <w:t xml:space="preserve">Contact HMRC </w:t>
            </w:r>
          </w:p>
          <w:p w14:paraId="3DA91C37" w14:textId="77777777" w:rsidR="009F6387" w:rsidRPr="009F6387" w:rsidRDefault="009F6387" w:rsidP="009F6387">
            <w:pPr>
              <w:spacing w:before="60" w:after="60"/>
              <w:rPr>
                <w:rFonts w:ascii="Avenir Next LT Pro" w:hAnsi="Avenir Next LT Pro" w:cs="Arial"/>
                <w:bCs/>
                <w:sz w:val="21"/>
                <w:szCs w:val="21"/>
              </w:rPr>
            </w:pPr>
            <w:r w:rsidRPr="009F6387">
              <w:rPr>
                <w:rFonts w:ascii="Avenir Next LT Pro" w:hAnsi="Avenir Next LT Pro" w:cs="Arial"/>
                <w:bCs/>
                <w:sz w:val="21"/>
                <w:szCs w:val="21"/>
              </w:rPr>
              <w:t xml:space="preserve">A new PAYE reference is required from the date of conversion. If EPM provide payroll, we can resolve this for the </w:t>
            </w:r>
            <w:proofErr w:type="gramStart"/>
            <w:r w:rsidRPr="009F6387">
              <w:rPr>
                <w:rFonts w:ascii="Avenir Next LT Pro" w:hAnsi="Avenir Next LT Pro" w:cs="Arial"/>
                <w:bCs/>
                <w:sz w:val="21"/>
                <w:szCs w:val="21"/>
              </w:rPr>
              <w:t>School</w:t>
            </w:r>
            <w:proofErr w:type="gramEnd"/>
            <w:r w:rsidRPr="009F6387">
              <w:rPr>
                <w:rFonts w:ascii="Avenir Next LT Pro" w:hAnsi="Avenir Next LT Pro" w:cs="Arial"/>
                <w:bCs/>
                <w:sz w:val="21"/>
                <w:szCs w:val="21"/>
              </w:rPr>
              <w:t xml:space="preserve">. </w:t>
            </w:r>
          </w:p>
          <w:p w14:paraId="1BAC41F3" w14:textId="77777777" w:rsidR="009F6387" w:rsidRPr="009F6387" w:rsidRDefault="009F6387" w:rsidP="009F6387">
            <w:pPr>
              <w:spacing w:before="60" w:after="60"/>
              <w:rPr>
                <w:rFonts w:ascii="Avenir Next LT Pro" w:hAnsi="Avenir Next LT Pro" w:cs="Arial"/>
                <w:bCs/>
                <w:sz w:val="21"/>
                <w:szCs w:val="21"/>
              </w:rPr>
            </w:pPr>
            <w:r w:rsidRPr="009F6387">
              <w:rPr>
                <w:rFonts w:ascii="Avenir Next LT Pro" w:hAnsi="Avenir Next LT Pro" w:cs="Arial"/>
                <w:bCs/>
                <w:sz w:val="21"/>
                <w:szCs w:val="21"/>
              </w:rPr>
              <w:t>Contact the Pension Regulators</w:t>
            </w:r>
          </w:p>
          <w:p w14:paraId="3A6AC432" w14:textId="77777777" w:rsidR="009F6387" w:rsidRPr="009F6387" w:rsidRDefault="009F6387" w:rsidP="009F6387">
            <w:pPr>
              <w:spacing w:before="60" w:after="60"/>
              <w:rPr>
                <w:rFonts w:ascii="Avenir Next LT Pro" w:hAnsi="Avenir Next LT Pro" w:cs="Arial"/>
                <w:bCs/>
                <w:sz w:val="21"/>
                <w:szCs w:val="21"/>
              </w:rPr>
            </w:pPr>
            <w:r w:rsidRPr="009F6387">
              <w:rPr>
                <w:rFonts w:ascii="Avenir Next LT Pro" w:hAnsi="Avenir Next LT Pro" w:cs="Arial"/>
                <w:bCs/>
                <w:sz w:val="21"/>
                <w:szCs w:val="21"/>
              </w:rPr>
              <w:t xml:space="preserve">It is the </w:t>
            </w:r>
            <w:proofErr w:type="gramStart"/>
            <w:r w:rsidRPr="009F6387">
              <w:rPr>
                <w:rFonts w:ascii="Avenir Next LT Pro" w:hAnsi="Avenir Next LT Pro" w:cs="Arial"/>
                <w:bCs/>
                <w:sz w:val="21"/>
                <w:szCs w:val="21"/>
              </w:rPr>
              <w:t>School’s</w:t>
            </w:r>
            <w:proofErr w:type="gramEnd"/>
            <w:r w:rsidRPr="009F6387">
              <w:rPr>
                <w:rFonts w:ascii="Avenir Next LT Pro" w:hAnsi="Avenir Next LT Pro" w:cs="Arial"/>
                <w:bCs/>
                <w:sz w:val="21"/>
                <w:szCs w:val="21"/>
              </w:rPr>
              <w:t xml:space="preserve"> responsibility to end the original PAYE reference number with the Pension Regulators.</w:t>
            </w:r>
          </w:p>
          <w:p w14:paraId="014839F5" w14:textId="2CF57F7E" w:rsidR="000F2D2C" w:rsidRPr="00933713" w:rsidRDefault="009F6387" w:rsidP="009F6387">
            <w:pPr>
              <w:rPr>
                <w:rFonts w:ascii="Avenir Next LT Pro" w:hAnsi="Avenir Next LT Pro" w:cs="Arial"/>
                <w:b w:val="0"/>
                <w:sz w:val="21"/>
                <w:szCs w:val="21"/>
              </w:rPr>
            </w:pPr>
            <w:r w:rsidRPr="00933713">
              <w:rPr>
                <w:rFonts w:ascii="Avenir Next LT Pro" w:hAnsi="Avenir Next LT Pro" w:cs="Arial"/>
                <w:b w:val="0"/>
                <w:sz w:val="21"/>
                <w:szCs w:val="21"/>
              </w:rPr>
              <w:t>Contact third party providers (AEO’s, childcare vouchers) to notify them of change of employer if applicable.</w:t>
            </w:r>
          </w:p>
        </w:tc>
        <w:tc>
          <w:tcPr>
            <w:tcW w:w="1642" w:type="dxa"/>
            <w:tcBorders>
              <w:top w:val="single" w:sz="4" w:space="0" w:color="9FAAC4"/>
              <w:left w:val="single" w:sz="4" w:space="0" w:color="9FAAC4"/>
              <w:bottom w:val="single" w:sz="4" w:space="0" w:color="9FAAC4"/>
            </w:tcBorders>
          </w:tcPr>
          <w:p w14:paraId="4AE42CAB" w14:textId="77777777" w:rsidR="000F2D2C" w:rsidRPr="000F2D2C" w:rsidRDefault="000F2D2C" w:rsidP="00FC6BDA">
            <w:pPr>
              <w:rPr>
                <w:rFonts w:ascii="Avenir Next LT Pro" w:hAnsi="Avenir Next LT Pro" w:cs="Arial"/>
                <w:b w:val="0"/>
                <w:bCs/>
                <w:sz w:val="21"/>
                <w:szCs w:val="21"/>
              </w:rPr>
            </w:pPr>
          </w:p>
        </w:tc>
      </w:tr>
      <w:tr w:rsidR="000F2D2C" w:rsidRPr="0099024B" w14:paraId="31D2C3B8" w14:textId="77777777" w:rsidTr="00D36274">
        <w:trPr>
          <w:cnfStyle w:val="000000010000" w:firstRow="0" w:lastRow="0" w:firstColumn="0" w:lastColumn="0" w:oddVBand="0" w:evenVBand="0" w:oddHBand="0" w:evenHBand="1" w:firstRowFirstColumn="0" w:firstRowLastColumn="0" w:lastRowFirstColumn="0" w:lastRowLastColumn="0"/>
        </w:trPr>
        <w:tc>
          <w:tcPr>
            <w:tcW w:w="709" w:type="dxa"/>
            <w:tcBorders>
              <w:top w:val="single" w:sz="4" w:space="0" w:color="9FAAC4"/>
              <w:bottom w:val="single" w:sz="4" w:space="0" w:color="9FAAC4"/>
              <w:right w:val="single" w:sz="4" w:space="0" w:color="9FAAC4"/>
            </w:tcBorders>
            <w:shd w:val="clear" w:color="auto" w:fill="auto"/>
          </w:tcPr>
          <w:p w14:paraId="48F9F4E7" w14:textId="609310C7" w:rsidR="000F2D2C" w:rsidRPr="000F2D2C" w:rsidRDefault="000F2D2C" w:rsidP="00FC6BDA">
            <w:pPr>
              <w:rPr>
                <w:rFonts w:ascii="Avenir Next LT Pro" w:hAnsi="Avenir Next LT Pro" w:cs="Arial"/>
                <w:b w:val="0"/>
                <w:bCs/>
                <w:sz w:val="21"/>
                <w:szCs w:val="21"/>
              </w:rPr>
            </w:pPr>
            <w:r w:rsidRPr="000F2D2C">
              <w:rPr>
                <w:rFonts w:ascii="Avenir Next LT Pro" w:hAnsi="Avenir Next LT Pro" w:cs="Arial"/>
                <w:b w:val="0"/>
                <w:bCs/>
                <w:sz w:val="21"/>
                <w:szCs w:val="21"/>
              </w:rPr>
              <w:t>10</w:t>
            </w:r>
          </w:p>
        </w:tc>
        <w:tc>
          <w:tcPr>
            <w:tcW w:w="992" w:type="dxa"/>
            <w:tcBorders>
              <w:top w:val="single" w:sz="4" w:space="0" w:color="9FAAC4"/>
              <w:left w:val="single" w:sz="4" w:space="0" w:color="9FAAC4"/>
              <w:bottom w:val="single" w:sz="4" w:space="0" w:color="9FAAC4"/>
              <w:right w:val="single" w:sz="4" w:space="0" w:color="9FAAC4"/>
            </w:tcBorders>
            <w:shd w:val="clear" w:color="auto" w:fill="auto"/>
          </w:tcPr>
          <w:p w14:paraId="38350EF2" w14:textId="77777777" w:rsidR="000F2D2C" w:rsidRPr="000F2D2C" w:rsidRDefault="000F2D2C" w:rsidP="00FC6BDA">
            <w:pPr>
              <w:rPr>
                <w:rFonts w:ascii="Avenir Next LT Pro" w:hAnsi="Avenir Next LT Pro" w:cs="Arial"/>
                <w:b w:val="0"/>
                <w:bCs/>
                <w:sz w:val="21"/>
                <w:szCs w:val="21"/>
              </w:rPr>
            </w:pPr>
          </w:p>
        </w:tc>
        <w:tc>
          <w:tcPr>
            <w:tcW w:w="6521" w:type="dxa"/>
            <w:tcBorders>
              <w:top w:val="single" w:sz="4" w:space="0" w:color="9FAAC4"/>
              <w:left w:val="single" w:sz="4" w:space="0" w:color="9FAAC4"/>
              <w:bottom w:val="single" w:sz="4" w:space="0" w:color="9FAAC4"/>
              <w:right w:val="single" w:sz="4" w:space="0" w:color="9FAAC4"/>
            </w:tcBorders>
            <w:shd w:val="clear" w:color="auto" w:fill="auto"/>
          </w:tcPr>
          <w:p w14:paraId="668B2943" w14:textId="2B2C2292" w:rsidR="000F2D2C" w:rsidRPr="000F2D2C" w:rsidRDefault="00933713" w:rsidP="00FC6BDA">
            <w:pPr>
              <w:rPr>
                <w:rFonts w:ascii="Avenir Next LT Pro" w:hAnsi="Avenir Next LT Pro" w:cs="Arial"/>
                <w:b w:val="0"/>
                <w:bCs/>
                <w:sz w:val="21"/>
                <w:szCs w:val="21"/>
              </w:rPr>
            </w:pPr>
            <w:r w:rsidRPr="00933713">
              <w:rPr>
                <w:rFonts w:ascii="Avenir Next LT Pro" w:hAnsi="Avenir Next LT Pro" w:cs="Arial"/>
                <w:b w:val="0"/>
                <w:bCs/>
                <w:sz w:val="21"/>
                <w:szCs w:val="21"/>
              </w:rPr>
              <w:t>New employer seeks final assurance of accuracy of and any changes to the employee liability information and where applicable due diligence since its original provision.</w:t>
            </w:r>
          </w:p>
        </w:tc>
        <w:tc>
          <w:tcPr>
            <w:tcW w:w="1642" w:type="dxa"/>
            <w:tcBorders>
              <w:top w:val="single" w:sz="4" w:space="0" w:color="9FAAC4"/>
              <w:left w:val="single" w:sz="4" w:space="0" w:color="9FAAC4"/>
              <w:bottom w:val="single" w:sz="4" w:space="0" w:color="9FAAC4"/>
            </w:tcBorders>
            <w:shd w:val="clear" w:color="auto" w:fill="auto"/>
          </w:tcPr>
          <w:p w14:paraId="03BAD6E5" w14:textId="77777777" w:rsidR="000F2D2C" w:rsidRPr="000F2D2C" w:rsidRDefault="000F2D2C" w:rsidP="00FC6BDA">
            <w:pPr>
              <w:rPr>
                <w:rFonts w:ascii="Avenir Next LT Pro" w:hAnsi="Avenir Next LT Pro" w:cs="Arial"/>
                <w:b w:val="0"/>
                <w:bCs/>
                <w:sz w:val="21"/>
                <w:szCs w:val="21"/>
              </w:rPr>
            </w:pPr>
          </w:p>
        </w:tc>
      </w:tr>
      <w:tr w:rsidR="000F2D2C" w:rsidRPr="0099024B" w14:paraId="6387D3E4" w14:textId="77777777" w:rsidTr="00D36274">
        <w:tc>
          <w:tcPr>
            <w:tcW w:w="709" w:type="dxa"/>
            <w:tcBorders>
              <w:top w:val="single" w:sz="4" w:space="0" w:color="9FAAC4"/>
              <w:bottom w:val="single" w:sz="4" w:space="0" w:color="9FAAC4"/>
              <w:right w:val="single" w:sz="4" w:space="0" w:color="9FAAC4"/>
            </w:tcBorders>
          </w:tcPr>
          <w:p w14:paraId="7DAB29FB" w14:textId="29168B59" w:rsidR="000F2D2C" w:rsidRPr="000F2D2C" w:rsidRDefault="000F2D2C" w:rsidP="00FC6BDA">
            <w:pPr>
              <w:rPr>
                <w:rFonts w:ascii="Avenir Next LT Pro" w:hAnsi="Avenir Next LT Pro" w:cs="Arial"/>
                <w:b w:val="0"/>
                <w:bCs/>
                <w:sz w:val="21"/>
                <w:szCs w:val="21"/>
              </w:rPr>
            </w:pPr>
            <w:r w:rsidRPr="000F2D2C">
              <w:rPr>
                <w:rFonts w:ascii="Avenir Next LT Pro" w:hAnsi="Avenir Next LT Pro" w:cs="Arial"/>
                <w:b w:val="0"/>
                <w:bCs/>
                <w:sz w:val="21"/>
                <w:szCs w:val="21"/>
              </w:rPr>
              <w:t>11</w:t>
            </w:r>
          </w:p>
        </w:tc>
        <w:tc>
          <w:tcPr>
            <w:tcW w:w="992" w:type="dxa"/>
            <w:tcBorders>
              <w:top w:val="single" w:sz="4" w:space="0" w:color="9FAAC4"/>
              <w:left w:val="single" w:sz="4" w:space="0" w:color="9FAAC4"/>
              <w:bottom w:val="single" w:sz="4" w:space="0" w:color="9FAAC4"/>
              <w:right w:val="single" w:sz="4" w:space="0" w:color="9FAAC4"/>
            </w:tcBorders>
          </w:tcPr>
          <w:p w14:paraId="2A766E9B" w14:textId="77777777" w:rsidR="000F2D2C" w:rsidRPr="000F2D2C" w:rsidRDefault="000F2D2C" w:rsidP="00FC6BDA">
            <w:pPr>
              <w:rPr>
                <w:rFonts w:ascii="Avenir Next LT Pro" w:hAnsi="Avenir Next LT Pro" w:cs="Arial"/>
                <w:b w:val="0"/>
                <w:bCs/>
                <w:sz w:val="21"/>
                <w:szCs w:val="21"/>
              </w:rPr>
            </w:pPr>
          </w:p>
        </w:tc>
        <w:tc>
          <w:tcPr>
            <w:tcW w:w="6521" w:type="dxa"/>
            <w:tcBorders>
              <w:top w:val="single" w:sz="4" w:space="0" w:color="9FAAC4"/>
              <w:left w:val="single" w:sz="4" w:space="0" w:color="9FAAC4"/>
              <w:bottom w:val="single" w:sz="4" w:space="0" w:color="9FAAC4"/>
              <w:right w:val="single" w:sz="4" w:space="0" w:color="9FAAC4"/>
            </w:tcBorders>
          </w:tcPr>
          <w:p w14:paraId="1C7E03DB" w14:textId="2E1E0564" w:rsidR="000F2D2C" w:rsidRPr="000F2D2C" w:rsidRDefault="00926B41" w:rsidP="00FC6BDA">
            <w:pPr>
              <w:rPr>
                <w:rFonts w:ascii="Avenir Next LT Pro" w:hAnsi="Avenir Next LT Pro" w:cs="Arial"/>
                <w:b w:val="0"/>
                <w:bCs/>
                <w:sz w:val="21"/>
                <w:szCs w:val="21"/>
              </w:rPr>
            </w:pPr>
            <w:r w:rsidRPr="00926B41">
              <w:rPr>
                <w:rFonts w:ascii="Avenir Next LT Pro" w:hAnsi="Avenir Next LT Pro" w:cs="Arial"/>
                <w:b w:val="0"/>
                <w:bCs/>
                <w:sz w:val="21"/>
                <w:szCs w:val="21"/>
              </w:rPr>
              <w:t>Transfer date.</w:t>
            </w:r>
          </w:p>
        </w:tc>
        <w:tc>
          <w:tcPr>
            <w:tcW w:w="1642" w:type="dxa"/>
            <w:tcBorders>
              <w:top w:val="single" w:sz="4" w:space="0" w:color="9FAAC4"/>
              <w:left w:val="single" w:sz="4" w:space="0" w:color="9FAAC4"/>
              <w:bottom w:val="single" w:sz="4" w:space="0" w:color="9FAAC4"/>
            </w:tcBorders>
          </w:tcPr>
          <w:p w14:paraId="2966B057" w14:textId="77777777" w:rsidR="000F2D2C" w:rsidRPr="000F2D2C" w:rsidRDefault="000F2D2C" w:rsidP="00FC6BDA">
            <w:pPr>
              <w:rPr>
                <w:rFonts w:ascii="Avenir Next LT Pro" w:hAnsi="Avenir Next LT Pro" w:cs="Arial"/>
                <w:b w:val="0"/>
                <w:bCs/>
                <w:sz w:val="21"/>
                <w:szCs w:val="21"/>
              </w:rPr>
            </w:pPr>
          </w:p>
        </w:tc>
      </w:tr>
      <w:tr w:rsidR="00E22B56" w:rsidRPr="0099024B" w14:paraId="2A46304D" w14:textId="77777777" w:rsidTr="00D36274">
        <w:trPr>
          <w:cnfStyle w:val="000000010000" w:firstRow="0" w:lastRow="0" w:firstColumn="0" w:lastColumn="0" w:oddVBand="0" w:evenVBand="0" w:oddHBand="0" w:evenHBand="1" w:firstRowFirstColumn="0" w:firstRowLastColumn="0" w:lastRowFirstColumn="0" w:lastRowLastColumn="0"/>
        </w:trPr>
        <w:tc>
          <w:tcPr>
            <w:tcW w:w="709" w:type="dxa"/>
            <w:tcBorders>
              <w:top w:val="single" w:sz="4" w:space="0" w:color="9FAAC4"/>
              <w:bottom w:val="single" w:sz="18" w:space="0" w:color="242E55"/>
              <w:right w:val="single" w:sz="4" w:space="0" w:color="9FAAC4"/>
            </w:tcBorders>
            <w:shd w:val="clear" w:color="auto" w:fill="auto"/>
          </w:tcPr>
          <w:p w14:paraId="079EE7AA" w14:textId="3DF6582A" w:rsidR="00E22B56" w:rsidRPr="000F2D2C" w:rsidRDefault="000F2D2C" w:rsidP="00FC6BDA">
            <w:pPr>
              <w:rPr>
                <w:rFonts w:ascii="Avenir Next LT Pro" w:hAnsi="Avenir Next LT Pro" w:cs="Arial"/>
                <w:b w:val="0"/>
                <w:bCs/>
                <w:sz w:val="21"/>
                <w:szCs w:val="21"/>
              </w:rPr>
            </w:pPr>
            <w:r w:rsidRPr="000F2D2C">
              <w:rPr>
                <w:rFonts w:ascii="Avenir Next LT Pro" w:hAnsi="Avenir Next LT Pro" w:cs="Arial"/>
                <w:b w:val="0"/>
                <w:bCs/>
                <w:sz w:val="21"/>
                <w:szCs w:val="21"/>
              </w:rPr>
              <w:t>12</w:t>
            </w:r>
          </w:p>
        </w:tc>
        <w:tc>
          <w:tcPr>
            <w:tcW w:w="992" w:type="dxa"/>
            <w:tcBorders>
              <w:top w:val="single" w:sz="4" w:space="0" w:color="9FAAC4"/>
              <w:left w:val="single" w:sz="4" w:space="0" w:color="9FAAC4"/>
              <w:bottom w:val="single" w:sz="18" w:space="0" w:color="242E55"/>
              <w:right w:val="single" w:sz="4" w:space="0" w:color="9FAAC4"/>
            </w:tcBorders>
            <w:shd w:val="clear" w:color="auto" w:fill="auto"/>
          </w:tcPr>
          <w:p w14:paraId="762A2724" w14:textId="77777777" w:rsidR="00E22B56" w:rsidRPr="000F2D2C" w:rsidRDefault="00E22B56" w:rsidP="00FC6BDA">
            <w:pPr>
              <w:rPr>
                <w:rFonts w:ascii="Avenir Next LT Pro" w:hAnsi="Avenir Next LT Pro" w:cs="Arial"/>
                <w:b w:val="0"/>
                <w:bCs/>
                <w:sz w:val="21"/>
                <w:szCs w:val="21"/>
              </w:rPr>
            </w:pPr>
          </w:p>
        </w:tc>
        <w:tc>
          <w:tcPr>
            <w:tcW w:w="6521" w:type="dxa"/>
            <w:tcBorders>
              <w:top w:val="single" w:sz="4" w:space="0" w:color="9FAAC4"/>
              <w:left w:val="single" w:sz="4" w:space="0" w:color="9FAAC4"/>
              <w:bottom w:val="single" w:sz="18" w:space="0" w:color="242E55"/>
              <w:right w:val="single" w:sz="4" w:space="0" w:color="9FAAC4"/>
            </w:tcBorders>
            <w:shd w:val="clear" w:color="auto" w:fill="auto"/>
          </w:tcPr>
          <w:p w14:paraId="36BD9967" w14:textId="51F66C1A" w:rsidR="00E22B56" w:rsidRPr="000F2D2C" w:rsidRDefault="00D36274" w:rsidP="00FC6BDA">
            <w:pPr>
              <w:rPr>
                <w:rFonts w:ascii="Avenir Next LT Pro" w:hAnsi="Avenir Next LT Pro" w:cs="Arial"/>
                <w:b w:val="0"/>
                <w:bCs/>
                <w:sz w:val="21"/>
                <w:szCs w:val="21"/>
              </w:rPr>
            </w:pPr>
            <w:r w:rsidRPr="00D36274">
              <w:rPr>
                <w:rFonts w:ascii="Avenir Next LT Pro" w:hAnsi="Avenir Next LT Pro" w:cs="Arial"/>
                <w:b w:val="0"/>
                <w:bCs/>
                <w:sz w:val="21"/>
                <w:szCs w:val="21"/>
              </w:rPr>
              <w:t>Transferred employees sent a welcome letter by the new employer.</w:t>
            </w:r>
          </w:p>
        </w:tc>
        <w:tc>
          <w:tcPr>
            <w:tcW w:w="1642" w:type="dxa"/>
            <w:tcBorders>
              <w:top w:val="single" w:sz="4" w:space="0" w:color="9FAAC4"/>
              <w:left w:val="single" w:sz="4" w:space="0" w:color="9FAAC4"/>
              <w:bottom w:val="single" w:sz="18" w:space="0" w:color="242E55"/>
            </w:tcBorders>
            <w:shd w:val="clear" w:color="auto" w:fill="auto"/>
          </w:tcPr>
          <w:p w14:paraId="4A2C8DBC" w14:textId="707795E0" w:rsidR="00E22B56" w:rsidRPr="000F2D2C" w:rsidRDefault="00E22B56" w:rsidP="00FC6BDA">
            <w:pPr>
              <w:rPr>
                <w:rFonts w:ascii="Avenir Next LT Pro" w:hAnsi="Avenir Next LT Pro" w:cs="Arial"/>
                <w:b w:val="0"/>
                <w:bCs/>
                <w:sz w:val="21"/>
                <w:szCs w:val="21"/>
              </w:rPr>
            </w:pPr>
          </w:p>
        </w:tc>
      </w:tr>
    </w:tbl>
    <w:p w14:paraId="5DF7B5A4" w14:textId="77777777" w:rsidR="00B560DE" w:rsidRDefault="00B560DE" w:rsidP="00DD7009">
      <w:pPr>
        <w:pStyle w:val="EPMTextstyle"/>
        <w:sectPr w:rsidR="00B560DE" w:rsidSect="005F48DA">
          <w:headerReference w:type="default" r:id="rId23"/>
          <w:footerReference w:type="default" r:id="rId24"/>
          <w:pgSz w:w="11906" w:h="16838"/>
          <w:pgMar w:top="1134" w:right="1021" w:bottom="851" w:left="1021" w:header="709" w:footer="544" w:gutter="0"/>
          <w:cols w:space="708"/>
          <w:docGrid w:linePitch="360"/>
        </w:sectPr>
      </w:pPr>
    </w:p>
    <w:p w14:paraId="3828DEAF" w14:textId="77777777" w:rsidR="006601A2" w:rsidRDefault="006601A2" w:rsidP="006601A2">
      <w:pPr>
        <w:pStyle w:val="EPMPageHeading"/>
      </w:pPr>
      <w:r>
        <w:t>Appendix 2</w:t>
      </w:r>
    </w:p>
    <w:p w14:paraId="12F3C15C" w14:textId="77777777" w:rsidR="006601A2" w:rsidRDefault="006601A2" w:rsidP="006601A2">
      <w:pPr>
        <w:pStyle w:val="EPMTextstyle"/>
      </w:pPr>
      <w:r>
        <w:t>Employee Liability and Due Diligence Checklist</w:t>
      </w:r>
    </w:p>
    <w:p w14:paraId="61B7CCFE" w14:textId="2C4D9B79" w:rsidR="00DD7009" w:rsidRPr="0099024B" w:rsidRDefault="006601A2" w:rsidP="006601A2">
      <w:pPr>
        <w:pStyle w:val="EPMTextstyle"/>
      </w:pPr>
      <w:r>
        <w:t>This document shows all the information that is expected to be provided to the new employer (transferee) when a Maintained School becomes an Academy school or joins a MAT. It is based on the DfE Commercial Transfer Agreement. The text highlighted in red is what Employee Liability Information is required under Reg 11 of the Transfer of Undertakings (Protection of Employment) Regulations 2006.</w:t>
      </w:r>
    </w:p>
    <w:tbl>
      <w:tblPr>
        <w:tblStyle w:val="EPMTableStyle"/>
        <w:tblW w:w="9923" w:type="dxa"/>
        <w:tblLook w:val="04A0" w:firstRow="1" w:lastRow="0" w:firstColumn="1" w:lastColumn="0" w:noHBand="0" w:noVBand="1"/>
      </w:tblPr>
      <w:tblGrid>
        <w:gridCol w:w="7797"/>
        <w:gridCol w:w="2126"/>
      </w:tblGrid>
      <w:tr w:rsidR="006601A2" w:rsidRPr="0099024B" w14:paraId="4A35036B" w14:textId="77777777" w:rsidTr="006601A2">
        <w:trPr>
          <w:cnfStyle w:val="100000000000" w:firstRow="1" w:lastRow="0" w:firstColumn="0" w:lastColumn="0" w:oddVBand="0" w:evenVBand="0" w:oddHBand="0" w:evenHBand="0" w:firstRowFirstColumn="0" w:firstRowLastColumn="0" w:lastRowFirstColumn="0" w:lastRowLastColumn="0"/>
        </w:trPr>
        <w:tc>
          <w:tcPr>
            <w:tcW w:w="7797" w:type="dxa"/>
            <w:tcBorders>
              <w:bottom w:val="single" w:sz="4" w:space="0" w:color="242E55"/>
            </w:tcBorders>
            <w:shd w:val="clear" w:color="auto" w:fill="242E54"/>
          </w:tcPr>
          <w:p w14:paraId="6FFFDCC3" w14:textId="47442B7F" w:rsidR="006601A2" w:rsidRPr="00DE30A3" w:rsidRDefault="004C6192" w:rsidP="005B6E1E">
            <w:pPr>
              <w:pStyle w:val="EPMTableHeading"/>
              <w:rPr>
                <w:bCs w:val="0"/>
              </w:rPr>
            </w:pPr>
            <w:r>
              <w:t>Personal File</w:t>
            </w:r>
          </w:p>
        </w:tc>
        <w:tc>
          <w:tcPr>
            <w:tcW w:w="2126" w:type="dxa"/>
            <w:tcBorders>
              <w:bottom w:val="single" w:sz="4" w:space="0" w:color="242E55"/>
            </w:tcBorders>
            <w:shd w:val="clear" w:color="auto" w:fill="242E54"/>
          </w:tcPr>
          <w:p w14:paraId="04519E5D" w14:textId="5370F5C4" w:rsidR="006601A2" w:rsidRPr="00DE30A3" w:rsidRDefault="004C6192" w:rsidP="005B6E1E">
            <w:pPr>
              <w:pStyle w:val="EPMTableHeading"/>
              <w:rPr>
                <w:b w:val="0"/>
              </w:rPr>
            </w:pPr>
            <w:r>
              <w:t>Date Received</w:t>
            </w:r>
          </w:p>
        </w:tc>
      </w:tr>
      <w:tr w:rsidR="00590B89" w:rsidRPr="0099024B" w14:paraId="30EAC35F" w14:textId="77777777" w:rsidTr="006601A2">
        <w:tc>
          <w:tcPr>
            <w:tcW w:w="7797" w:type="dxa"/>
            <w:tcBorders>
              <w:top w:val="single" w:sz="4" w:space="0" w:color="242E55"/>
              <w:bottom w:val="single" w:sz="4" w:space="0" w:color="9FAAC4"/>
              <w:right w:val="single" w:sz="4" w:space="0" w:color="9FAAC4"/>
            </w:tcBorders>
          </w:tcPr>
          <w:p w14:paraId="6ED0EB19" w14:textId="2517E0AC" w:rsidR="00590B89" w:rsidRPr="00590B89" w:rsidRDefault="00590B89" w:rsidP="00590B89">
            <w:pPr>
              <w:rPr>
                <w:rFonts w:ascii="Avenir Next LT Pro" w:hAnsi="Avenir Next LT Pro" w:cs="Arial"/>
                <w:b w:val="0"/>
                <w:bCs/>
                <w:sz w:val="21"/>
                <w:szCs w:val="21"/>
              </w:rPr>
            </w:pPr>
            <w:r w:rsidRPr="00590B89">
              <w:rPr>
                <w:rFonts w:ascii="Avenir Next LT Pro" w:hAnsi="Avenir Next LT Pro"/>
                <w:b w:val="0"/>
                <w:bCs/>
                <w:sz w:val="21"/>
                <w:szCs w:val="21"/>
              </w:rPr>
              <w:t xml:space="preserve">Application form </w:t>
            </w:r>
          </w:p>
        </w:tc>
        <w:tc>
          <w:tcPr>
            <w:tcW w:w="2126" w:type="dxa"/>
            <w:tcBorders>
              <w:top w:val="single" w:sz="4" w:space="0" w:color="242E55"/>
              <w:left w:val="single" w:sz="4" w:space="0" w:color="9FAAC4"/>
              <w:bottom w:val="single" w:sz="4" w:space="0" w:color="9FAAC4"/>
            </w:tcBorders>
          </w:tcPr>
          <w:p w14:paraId="193C147D" w14:textId="77777777" w:rsidR="00590B89" w:rsidRPr="000F2D2C" w:rsidRDefault="00590B89" w:rsidP="00590B89">
            <w:pPr>
              <w:rPr>
                <w:rFonts w:ascii="Avenir Next LT Pro" w:hAnsi="Avenir Next LT Pro" w:cs="Arial"/>
                <w:b w:val="0"/>
                <w:bCs/>
                <w:sz w:val="21"/>
                <w:szCs w:val="21"/>
              </w:rPr>
            </w:pPr>
          </w:p>
        </w:tc>
      </w:tr>
      <w:tr w:rsidR="00590B89" w:rsidRPr="0099024B" w14:paraId="7A5F1053" w14:textId="77777777" w:rsidTr="006601A2">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FFFFFF" w:themeFill="background1"/>
          </w:tcPr>
          <w:p w14:paraId="3955E3B0" w14:textId="2012FD2E" w:rsidR="00590B89" w:rsidRPr="00590B89" w:rsidRDefault="00590B89" w:rsidP="00590B89">
            <w:pPr>
              <w:rPr>
                <w:rFonts w:ascii="Avenir Next LT Pro" w:hAnsi="Avenir Next LT Pro" w:cs="Arial"/>
                <w:b w:val="0"/>
                <w:bCs/>
                <w:sz w:val="21"/>
                <w:szCs w:val="21"/>
              </w:rPr>
            </w:pPr>
            <w:r w:rsidRPr="00590B89">
              <w:rPr>
                <w:rFonts w:ascii="Avenir Next LT Pro" w:hAnsi="Avenir Next LT Pro"/>
                <w:b w:val="0"/>
                <w:bCs/>
                <w:sz w:val="21"/>
                <w:szCs w:val="21"/>
              </w:rPr>
              <w:t xml:space="preserve">Interview notes </w:t>
            </w:r>
          </w:p>
        </w:tc>
        <w:tc>
          <w:tcPr>
            <w:tcW w:w="2126" w:type="dxa"/>
            <w:tcBorders>
              <w:top w:val="single" w:sz="4" w:space="0" w:color="9FAAC4"/>
              <w:left w:val="single" w:sz="4" w:space="0" w:color="9FAAC4"/>
              <w:bottom w:val="single" w:sz="4" w:space="0" w:color="9FAAC4"/>
            </w:tcBorders>
            <w:shd w:val="clear" w:color="auto" w:fill="FFFFFF" w:themeFill="background1"/>
          </w:tcPr>
          <w:p w14:paraId="63E8F07E" w14:textId="77777777" w:rsidR="00590B89" w:rsidRPr="000F2D2C" w:rsidRDefault="00590B89" w:rsidP="00590B89">
            <w:pPr>
              <w:rPr>
                <w:rFonts w:ascii="Avenir Next LT Pro" w:hAnsi="Avenir Next LT Pro" w:cs="Arial"/>
                <w:b w:val="0"/>
                <w:bCs/>
                <w:sz w:val="21"/>
                <w:szCs w:val="21"/>
              </w:rPr>
            </w:pPr>
          </w:p>
        </w:tc>
      </w:tr>
      <w:tr w:rsidR="00590B89" w:rsidRPr="0099024B" w14:paraId="71BB313F" w14:textId="77777777" w:rsidTr="006601A2">
        <w:tc>
          <w:tcPr>
            <w:tcW w:w="7797" w:type="dxa"/>
            <w:tcBorders>
              <w:top w:val="single" w:sz="4" w:space="0" w:color="9FAAC4"/>
              <w:bottom w:val="single" w:sz="4" w:space="0" w:color="9FAAC4"/>
              <w:right w:val="single" w:sz="4" w:space="0" w:color="9FAAC4"/>
            </w:tcBorders>
          </w:tcPr>
          <w:p w14:paraId="2C023857" w14:textId="13878742" w:rsidR="00590B89" w:rsidRPr="00590B89" w:rsidRDefault="00590B89" w:rsidP="00590B89">
            <w:pPr>
              <w:rPr>
                <w:rFonts w:ascii="Avenir Next LT Pro" w:hAnsi="Avenir Next LT Pro" w:cs="Arial"/>
                <w:b w:val="0"/>
                <w:bCs/>
                <w:sz w:val="21"/>
                <w:szCs w:val="21"/>
              </w:rPr>
            </w:pPr>
            <w:r w:rsidRPr="00590B89">
              <w:rPr>
                <w:rFonts w:ascii="Avenir Next LT Pro" w:hAnsi="Avenir Next LT Pro"/>
                <w:b w:val="0"/>
                <w:bCs/>
                <w:sz w:val="21"/>
                <w:szCs w:val="21"/>
              </w:rPr>
              <w:t>References</w:t>
            </w:r>
          </w:p>
        </w:tc>
        <w:tc>
          <w:tcPr>
            <w:tcW w:w="2126" w:type="dxa"/>
            <w:tcBorders>
              <w:top w:val="single" w:sz="4" w:space="0" w:color="9FAAC4"/>
              <w:left w:val="single" w:sz="4" w:space="0" w:color="9FAAC4"/>
              <w:bottom w:val="single" w:sz="4" w:space="0" w:color="9FAAC4"/>
            </w:tcBorders>
          </w:tcPr>
          <w:p w14:paraId="629B0FD4" w14:textId="77777777" w:rsidR="00590B89" w:rsidRPr="000F2D2C" w:rsidRDefault="00590B89" w:rsidP="00590B89">
            <w:pPr>
              <w:rPr>
                <w:rFonts w:ascii="Avenir Next LT Pro" w:hAnsi="Avenir Next LT Pro" w:cs="Arial"/>
                <w:b w:val="0"/>
                <w:bCs/>
                <w:sz w:val="21"/>
                <w:szCs w:val="21"/>
              </w:rPr>
            </w:pPr>
          </w:p>
        </w:tc>
      </w:tr>
      <w:tr w:rsidR="00590B89" w:rsidRPr="0099024B" w14:paraId="3423C38D" w14:textId="77777777" w:rsidTr="006601A2">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auto"/>
          </w:tcPr>
          <w:p w14:paraId="355D3A0B" w14:textId="515CB5A2" w:rsidR="00590B89" w:rsidRPr="00590B89" w:rsidRDefault="00590B89" w:rsidP="00590B89">
            <w:pPr>
              <w:rPr>
                <w:rFonts w:ascii="Avenir Next LT Pro" w:hAnsi="Avenir Next LT Pro" w:cs="Arial"/>
                <w:b w:val="0"/>
                <w:bCs/>
                <w:sz w:val="21"/>
                <w:szCs w:val="21"/>
              </w:rPr>
            </w:pPr>
            <w:r w:rsidRPr="00590B89">
              <w:rPr>
                <w:rFonts w:ascii="Avenir Next LT Pro" w:hAnsi="Avenir Next LT Pro"/>
                <w:b w:val="0"/>
                <w:bCs/>
                <w:sz w:val="21"/>
                <w:szCs w:val="21"/>
              </w:rPr>
              <w:t xml:space="preserve">Medical clearance </w:t>
            </w:r>
          </w:p>
        </w:tc>
        <w:tc>
          <w:tcPr>
            <w:tcW w:w="2126" w:type="dxa"/>
            <w:tcBorders>
              <w:top w:val="single" w:sz="4" w:space="0" w:color="9FAAC4"/>
              <w:left w:val="single" w:sz="4" w:space="0" w:color="9FAAC4"/>
              <w:bottom w:val="single" w:sz="4" w:space="0" w:color="9FAAC4"/>
            </w:tcBorders>
            <w:shd w:val="clear" w:color="auto" w:fill="auto"/>
          </w:tcPr>
          <w:p w14:paraId="6F809D69" w14:textId="77777777" w:rsidR="00590B89" w:rsidRPr="000F2D2C" w:rsidRDefault="00590B89" w:rsidP="00590B89">
            <w:pPr>
              <w:rPr>
                <w:rFonts w:ascii="Avenir Next LT Pro" w:hAnsi="Avenir Next LT Pro" w:cs="Arial"/>
                <w:b w:val="0"/>
                <w:bCs/>
                <w:sz w:val="21"/>
                <w:szCs w:val="21"/>
              </w:rPr>
            </w:pPr>
          </w:p>
        </w:tc>
      </w:tr>
      <w:tr w:rsidR="00590B89" w:rsidRPr="0099024B" w14:paraId="5FEF9603" w14:textId="77777777" w:rsidTr="006601A2">
        <w:tc>
          <w:tcPr>
            <w:tcW w:w="7797" w:type="dxa"/>
            <w:tcBorders>
              <w:top w:val="single" w:sz="4" w:space="0" w:color="9FAAC4"/>
              <w:bottom w:val="single" w:sz="4" w:space="0" w:color="9FAAC4"/>
              <w:right w:val="single" w:sz="4" w:space="0" w:color="9FAAC4"/>
            </w:tcBorders>
          </w:tcPr>
          <w:p w14:paraId="5B11BC2E" w14:textId="6CB0ECB4" w:rsidR="00590B89" w:rsidRPr="00590B89" w:rsidRDefault="00590B89" w:rsidP="00590B89">
            <w:pPr>
              <w:rPr>
                <w:rFonts w:ascii="Avenir Next LT Pro" w:hAnsi="Avenir Next LT Pro" w:cs="Arial"/>
                <w:b w:val="0"/>
                <w:bCs/>
                <w:sz w:val="21"/>
                <w:szCs w:val="21"/>
              </w:rPr>
            </w:pPr>
            <w:r w:rsidRPr="00590B89">
              <w:rPr>
                <w:rFonts w:ascii="Avenir Next LT Pro" w:hAnsi="Avenir Next LT Pro"/>
                <w:b w:val="0"/>
                <w:bCs/>
                <w:sz w:val="21"/>
                <w:szCs w:val="21"/>
              </w:rPr>
              <w:t xml:space="preserve">Copies of qualification </w:t>
            </w:r>
          </w:p>
        </w:tc>
        <w:tc>
          <w:tcPr>
            <w:tcW w:w="2126" w:type="dxa"/>
            <w:tcBorders>
              <w:top w:val="single" w:sz="4" w:space="0" w:color="9FAAC4"/>
              <w:left w:val="single" w:sz="4" w:space="0" w:color="9FAAC4"/>
              <w:bottom w:val="single" w:sz="4" w:space="0" w:color="9FAAC4"/>
            </w:tcBorders>
          </w:tcPr>
          <w:p w14:paraId="29C75AB5" w14:textId="77777777" w:rsidR="00590B89" w:rsidRPr="000F2D2C" w:rsidRDefault="00590B89" w:rsidP="00590B89">
            <w:pPr>
              <w:rPr>
                <w:rFonts w:ascii="Avenir Next LT Pro" w:hAnsi="Avenir Next LT Pro" w:cs="Arial"/>
                <w:b w:val="0"/>
                <w:bCs/>
                <w:sz w:val="21"/>
                <w:szCs w:val="21"/>
              </w:rPr>
            </w:pPr>
          </w:p>
        </w:tc>
      </w:tr>
      <w:tr w:rsidR="00590B89" w:rsidRPr="0099024B" w14:paraId="76862BAA" w14:textId="77777777" w:rsidTr="006601A2">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auto"/>
          </w:tcPr>
          <w:p w14:paraId="055ADD24" w14:textId="5A75A1F6" w:rsidR="00590B89" w:rsidRPr="00590B89" w:rsidRDefault="00590B89" w:rsidP="00590B89">
            <w:pPr>
              <w:rPr>
                <w:rFonts w:ascii="Avenir Next LT Pro" w:hAnsi="Avenir Next LT Pro" w:cs="Arial"/>
                <w:b w:val="0"/>
                <w:bCs/>
                <w:sz w:val="21"/>
                <w:szCs w:val="21"/>
              </w:rPr>
            </w:pPr>
            <w:r w:rsidRPr="00590B89">
              <w:rPr>
                <w:rFonts w:ascii="Avenir Next LT Pro" w:hAnsi="Avenir Next LT Pro"/>
                <w:b w:val="0"/>
                <w:bCs/>
                <w:sz w:val="21"/>
                <w:szCs w:val="21"/>
              </w:rPr>
              <w:t xml:space="preserve">Copies of right to work documentation </w:t>
            </w:r>
          </w:p>
        </w:tc>
        <w:tc>
          <w:tcPr>
            <w:tcW w:w="2126" w:type="dxa"/>
            <w:tcBorders>
              <w:top w:val="single" w:sz="4" w:space="0" w:color="9FAAC4"/>
              <w:left w:val="single" w:sz="4" w:space="0" w:color="9FAAC4"/>
              <w:bottom w:val="single" w:sz="4" w:space="0" w:color="9FAAC4"/>
            </w:tcBorders>
            <w:shd w:val="clear" w:color="auto" w:fill="auto"/>
          </w:tcPr>
          <w:p w14:paraId="6B174385" w14:textId="77777777" w:rsidR="00590B89" w:rsidRPr="000F2D2C" w:rsidRDefault="00590B89" w:rsidP="00590B89">
            <w:pPr>
              <w:rPr>
                <w:rFonts w:ascii="Avenir Next LT Pro" w:hAnsi="Avenir Next LT Pro" w:cs="Arial"/>
                <w:b w:val="0"/>
                <w:bCs/>
                <w:sz w:val="21"/>
                <w:szCs w:val="21"/>
              </w:rPr>
            </w:pPr>
          </w:p>
        </w:tc>
      </w:tr>
      <w:tr w:rsidR="00590B89" w:rsidRPr="0099024B" w14:paraId="36DBD15B" w14:textId="77777777" w:rsidTr="006601A2">
        <w:tc>
          <w:tcPr>
            <w:tcW w:w="7797" w:type="dxa"/>
            <w:tcBorders>
              <w:top w:val="single" w:sz="4" w:space="0" w:color="9FAAC4"/>
              <w:bottom w:val="single" w:sz="4" w:space="0" w:color="9FAAC4"/>
              <w:right w:val="single" w:sz="4" w:space="0" w:color="9FAAC4"/>
            </w:tcBorders>
          </w:tcPr>
          <w:p w14:paraId="14461DC2" w14:textId="6DD33BD9" w:rsidR="00590B89" w:rsidRPr="00590B89" w:rsidRDefault="00590B89" w:rsidP="00590B89">
            <w:pPr>
              <w:rPr>
                <w:rFonts w:ascii="Avenir Next LT Pro" w:hAnsi="Avenir Next LT Pro" w:cs="Arial"/>
                <w:b w:val="0"/>
                <w:bCs/>
                <w:sz w:val="21"/>
                <w:szCs w:val="21"/>
              </w:rPr>
            </w:pPr>
            <w:r w:rsidRPr="00590B89">
              <w:rPr>
                <w:rFonts w:ascii="Avenir Next LT Pro" w:hAnsi="Avenir Next LT Pro"/>
                <w:b w:val="0"/>
                <w:bCs/>
                <w:sz w:val="21"/>
                <w:szCs w:val="21"/>
              </w:rPr>
              <w:t xml:space="preserve">Disqualification form (if applicable) </w:t>
            </w:r>
          </w:p>
        </w:tc>
        <w:tc>
          <w:tcPr>
            <w:tcW w:w="2126" w:type="dxa"/>
            <w:tcBorders>
              <w:top w:val="single" w:sz="4" w:space="0" w:color="9FAAC4"/>
              <w:left w:val="single" w:sz="4" w:space="0" w:color="9FAAC4"/>
              <w:bottom w:val="single" w:sz="4" w:space="0" w:color="9FAAC4"/>
            </w:tcBorders>
          </w:tcPr>
          <w:p w14:paraId="5B285F45" w14:textId="77777777" w:rsidR="00590B89" w:rsidRPr="000F2D2C" w:rsidRDefault="00590B89" w:rsidP="00590B89">
            <w:pPr>
              <w:rPr>
                <w:rFonts w:ascii="Avenir Next LT Pro" w:hAnsi="Avenir Next LT Pro" w:cs="Arial"/>
                <w:b w:val="0"/>
                <w:bCs/>
                <w:sz w:val="21"/>
                <w:szCs w:val="21"/>
              </w:rPr>
            </w:pPr>
          </w:p>
        </w:tc>
      </w:tr>
      <w:tr w:rsidR="00590B89" w:rsidRPr="0099024B" w14:paraId="49AD5079" w14:textId="77777777" w:rsidTr="006601A2">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auto"/>
          </w:tcPr>
          <w:p w14:paraId="29FB5598" w14:textId="5BABD9BC" w:rsidR="00590B89" w:rsidRPr="00590B89" w:rsidRDefault="00590B89" w:rsidP="00590B89">
            <w:pPr>
              <w:rPr>
                <w:rFonts w:ascii="Avenir Next LT Pro" w:hAnsi="Avenir Next LT Pro" w:cs="Arial"/>
                <w:b w:val="0"/>
                <w:bCs/>
                <w:sz w:val="21"/>
                <w:szCs w:val="21"/>
              </w:rPr>
            </w:pPr>
            <w:r w:rsidRPr="00590B89">
              <w:rPr>
                <w:rFonts w:ascii="Avenir Next LT Pro" w:hAnsi="Avenir Next LT Pro"/>
                <w:b w:val="0"/>
                <w:bCs/>
                <w:sz w:val="21"/>
                <w:szCs w:val="21"/>
              </w:rPr>
              <w:t xml:space="preserve">Prohibition check outcome (if applicable) </w:t>
            </w:r>
          </w:p>
        </w:tc>
        <w:tc>
          <w:tcPr>
            <w:tcW w:w="2126" w:type="dxa"/>
            <w:tcBorders>
              <w:top w:val="single" w:sz="4" w:space="0" w:color="9FAAC4"/>
              <w:left w:val="single" w:sz="4" w:space="0" w:color="9FAAC4"/>
              <w:bottom w:val="single" w:sz="4" w:space="0" w:color="9FAAC4"/>
            </w:tcBorders>
            <w:shd w:val="clear" w:color="auto" w:fill="auto"/>
          </w:tcPr>
          <w:p w14:paraId="259B1625" w14:textId="77777777" w:rsidR="00590B89" w:rsidRPr="000F2D2C" w:rsidRDefault="00590B89" w:rsidP="00590B89">
            <w:pPr>
              <w:rPr>
                <w:rFonts w:ascii="Avenir Next LT Pro" w:hAnsi="Avenir Next LT Pro" w:cs="Arial"/>
                <w:b w:val="0"/>
                <w:bCs/>
                <w:sz w:val="21"/>
                <w:szCs w:val="21"/>
              </w:rPr>
            </w:pPr>
          </w:p>
        </w:tc>
      </w:tr>
      <w:tr w:rsidR="00657D06" w:rsidRPr="0099024B" w14:paraId="0F541130" w14:textId="77777777" w:rsidTr="006601A2">
        <w:tc>
          <w:tcPr>
            <w:tcW w:w="7797" w:type="dxa"/>
            <w:tcBorders>
              <w:top w:val="single" w:sz="4" w:space="0" w:color="9FAAC4"/>
              <w:bottom w:val="single" w:sz="4" w:space="0" w:color="9FAAC4"/>
              <w:right w:val="single" w:sz="4" w:space="0" w:color="9FAAC4"/>
            </w:tcBorders>
          </w:tcPr>
          <w:p w14:paraId="18F5134B" w14:textId="0C859064" w:rsidR="00657D06" w:rsidRPr="008F138F" w:rsidRDefault="00657D06" w:rsidP="00657D06">
            <w:pPr>
              <w:rPr>
                <w:rFonts w:ascii="Avenir Next LT Pro" w:hAnsi="Avenir Next LT Pro"/>
                <w:b w:val="0"/>
                <w:bCs/>
                <w:sz w:val="21"/>
                <w:szCs w:val="21"/>
              </w:rPr>
            </w:pPr>
            <w:r w:rsidRPr="008F138F">
              <w:rPr>
                <w:rFonts w:ascii="Avenir Next LT Pro" w:hAnsi="Avenir Next LT Pro"/>
                <w:b w:val="0"/>
                <w:bCs/>
                <w:sz w:val="21"/>
                <w:szCs w:val="21"/>
              </w:rPr>
              <w:t xml:space="preserve">Offer letter </w:t>
            </w:r>
          </w:p>
        </w:tc>
        <w:tc>
          <w:tcPr>
            <w:tcW w:w="2126" w:type="dxa"/>
            <w:tcBorders>
              <w:top w:val="single" w:sz="4" w:space="0" w:color="9FAAC4"/>
              <w:left w:val="single" w:sz="4" w:space="0" w:color="9FAAC4"/>
              <w:bottom w:val="single" w:sz="4" w:space="0" w:color="9FAAC4"/>
            </w:tcBorders>
          </w:tcPr>
          <w:p w14:paraId="56F4FB28" w14:textId="77777777" w:rsidR="00657D06" w:rsidRPr="000F2D2C" w:rsidRDefault="00657D06" w:rsidP="00657D06">
            <w:pPr>
              <w:rPr>
                <w:rFonts w:ascii="Avenir Next LT Pro" w:hAnsi="Avenir Next LT Pro" w:cs="Arial"/>
                <w:b w:val="0"/>
                <w:bCs/>
                <w:sz w:val="21"/>
                <w:szCs w:val="21"/>
              </w:rPr>
            </w:pPr>
          </w:p>
        </w:tc>
      </w:tr>
      <w:tr w:rsidR="00657D06" w:rsidRPr="0099024B" w14:paraId="7176C8D8" w14:textId="77777777" w:rsidTr="006601A2">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auto"/>
          </w:tcPr>
          <w:p w14:paraId="2724283E" w14:textId="7B00F9CE" w:rsidR="00657D06" w:rsidRPr="008F138F" w:rsidRDefault="00657D06" w:rsidP="00657D06">
            <w:pPr>
              <w:rPr>
                <w:rFonts w:ascii="Avenir Next LT Pro" w:hAnsi="Avenir Next LT Pro"/>
                <w:b w:val="0"/>
                <w:bCs/>
                <w:sz w:val="21"/>
                <w:szCs w:val="21"/>
              </w:rPr>
            </w:pPr>
            <w:r w:rsidRPr="008F138F">
              <w:rPr>
                <w:rFonts w:ascii="Avenir Next LT Pro" w:hAnsi="Avenir Next LT Pro"/>
                <w:b w:val="0"/>
                <w:bCs/>
                <w:sz w:val="21"/>
                <w:szCs w:val="21"/>
              </w:rPr>
              <w:t xml:space="preserve">Occupational Health reports relating to a </w:t>
            </w:r>
            <w:proofErr w:type="gramStart"/>
            <w:r w:rsidRPr="008F138F">
              <w:rPr>
                <w:rFonts w:ascii="Avenir Next LT Pro" w:hAnsi="Avenir Next LT Pro"/>
                <w:b w:val="0"/>
                <w:bCs/>
                <w:sz w:val="21"/>
                <w:szCs w:val="21"/>
              </w:rPr>
              <w:t>current absence/permanent medical conditions</w:t>
            </w:r>
            <w:proofErr w:type="gramEnd"/>
            <w:r w:rsidRPr="008F138F">
              <w:rPr>
                <w:rFonts w:ascii="Avenir Next LT Pro" w:hAnsi="Avenir Next LT Pro"/>
                <w:b w:val="0"/>
                <w:bCs/>
                <w:sz w:val="21"/>
                <w:szCs w:val="21"/>
              </w:rPr>
              <w:t xml:space="preserve"> </w:t>
            </w:r>
          </w:p>
        </w:tc>
        <w:tc>
          <w:tcPr>
            <w:tcW w:w="2126" w:type="dxa"/>
            <w:tcBorders>
              <w:top w:val="single" w:sz="4" w:space="0" w:color="9FAAC4"/>
              <w:left w:val="single" w:sz="4" w:space="0" w:color="9FAAC4"/>
              <w:bottom w:val="single" w:sz="4" w:space="0" w:color="9FAAC4"/>
            </w:tcBorders>
            <w:shd w:val="clear" w:color="auto" w:fill="auto"/>
          </w:tcPr>
          <w:p w14:paraId="5A93C198" w14:textId="77777777" w:rsidR="00657D06" w:rsidRPr="000F2D2C" w:rsidRDefault="00657D06" w:rsidP="00657D06">
            <w:pPr>
              <w:rPr>
                <w:rFonts w:ascii="Avenir Next LT Pro" w:hAnsi="Avenir Next LT Pro" w:cs="Arial"/>
                <w:b w:val="0"/>
                <w:bCs/>
                <w:sz w:val="21"/>
                <w:szCs w:val="21"/>
              </w:rPr>
            </w:pPr>
          </w:p>
        </w:tc>
      </w:tr>
      <w:tr w:rsidR="00657D06" w:rsidRPr="0099024B" w14:paraId="477399B7" w14:textId="77777777" w:rsidTr="006601A2">
        <w:tc>
          <w:tcPr>
            <w:tcW w:w="7797" w:type="dxa"/>
            <w:tcBorders>
              <w:top w:val="single" w:sz="4" w:space="0" w:color="9FAAC4"/>
              <w:bottom w:val="single" w:sz="4" w:space="0" w:color="9FAAC4"/>
              <w:right w:val="single" w:sz="4" w:space="0" w:color="9FAAC4"/>
            </w:tcBorders>
          </w:tcPr>
          <w:p w14:paraId="7504047F" w14:textId="6F7C5DDA" w:rsidR="00657D06" w:rsidRPr="008F138F" w:rsidRDefault="00657D06" w:rsidP="00657D06">
            <w:pPr>
              <w:rPr>
                <w:rFonts w:ascii="Avenir Next LT Pro" w:hAnsi="Avenir Next LT Pro"/>
                <w:b w:val="0"/>
                <w:bCs/>
                <w:sz w:val="21"/>
                <w:szCs w:val="21"/>
              </w:rPr>
            </w:pPr>
            <w:r w:rsidRPr="008F138F">
              <w:rPr>
                <w:rFonts w:ascii="Avenir Next LT Pro" w:hAnsi="Avenir Next LT Pro"/>
                <w:b w:val="0"/>
                <w:bCs/>
                <w:sz w:val="21"/>
                <w:szCs w:val="21"/>
              </w:rPr>
              <w:t xml:space="preserve">Appraisal forms covering past 3 years </w:t>
            </w:r>
          </w:p>
        </w:tc>
        <w:tc>
          <w:tcPr>
            <w:tcW w:w="2126" w:type="dxa"/>
            <w:tcBorders>
              <w:top w:val="single" w:sz="4" w:space="0" w:color="9FAAC4"/>
              <w:left w:val="single" w:sz="4" w:space="0" w:color="9FAAC4"/>
              <w:bottom w:val="single" w:sz="4" w:space="0" w:color="9FAAC4"/>
            </w:tcBorders>
          </w:tcPr>
          <w:p w14:paraId="51265ABB" w14:textId="77777777" w:rsidR="00657D06" w:rsidRPr="000F2D2C" w:rsidRDefault="00657D06" w:rsidP="00657D06">
            <w:pPr>
              <w:rPr>
                <w:rFonts w:ascii="Avenir Next LT Pro" w:hAnsi="Avenir Next LT Pro" w:cs="Arial"/>
                <w:b w:val="0"/>
                <w:bCs/>
                <w:sz w:val="21"/>
                <w:szCs w:val="21"/>
              </w:rPr>
            </w:pPr>
          </w:p>
        </w:tc>
      </w:tr>
      <w:tr w:rsidR="00FB6638" w:rsidRPr="0099024B" w14:paraId="0E2A75D6" w14:textId="77777777" w:rsidTr="00590B89">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auto"/>
          </w:tcPr>
          <w:p w14:paraId="64CC8968" w14:textId="6AE3D66F" w:rsidR="00FB6638" w:rsidRPr="008F138F" w:rsidRDefault="00FB6638" w:rsidP="00FB6638">
            <w:pPr>
              <w:rPr>
                <w:rFonts w:ascii="Avenir Next LT Pro" w:hAnsi="Avenir Next LT Pro"/>
                <w:b w:val="0"/>
                <w:bCs/>
                <w:sz w:val="21"/>
                <w:szCs w:val="21"/>
              </w:rPr>
            </w:pPr>
            <w:r w:rsidRPr="008F138F">
              <w:rPr>
                <w:rFonts w:ascii="Avenir Next LT Pro" w:hAnsi="Avenir Next LT Pro"/>
                <w:b w:val="0"/>
                <w:bCs/>
                <w:sz w:val="21"/>
                <w:szCs w:val="21"/>
              </w:rPr>
              <w:t xml:space="preserve">Any details confirming changes to terms and conditions in the last 12 months </w:t>
            </w:r>
          </w:p>
        </w:tc>
        <w:tc>
          <w:tcPr>
            <w:tcW w:w="2126" w:type="dxa"/>
            <w:tcBorders>
              <w:top w:val="single" w:sz="4" w:space="0" w:color="9FAAC4"/>
              <w:left w:val="single" w:sz="4" w:space="0" w:color="9FAAC4"/>
              <w:bottom w:val="single" w:sz="4" w:space="0" w:color="9FAAC4"/>
            </w:tcBorders>
            <w:shd w:val="clear" w:color="auto" w:fill="auto"/>
          </w:tcPr>
          <w:p w14:paraId="15C05285" w14:textId="77777777" w:rsidR="00FB6638" w:rsidRPr="000F2D2C" w:rsidRDefault="00FB6638" w:rsidP="00FB6638">
            <w:pPr>
              <w:rPr>
                <w:rFonts w:ascii="Avenir Next LT Pro" w:hAnsi="Avenir Next LT Pro" w:cs="Arial"/>
                <w:b w:val="0"/>
                <w:bCs/>
                <w:sz w:val="21"/>
                <w:szCs w:val="21"/>
              </w:rPr>
            </w:pPr>
          </w:p>
        </w:tc>
      </w:tr>
      <w:tr w:rsidR="00FB6638" w:rsidRPr="0099024B" w14:paraId="577AE9BC" w14:textId="77777777" w:rsidTr="006601A2">
        <w:tc>
          <w:tcPr>
            <w:tcW w:w="7797" w:type="dxa"/>
            <w:tcBorders>
              <w:top w:val="single" w:sz="4" w:space="0" w:color="9FAAC4"/>
              <w:bottom w:val="single" w:sz="4" w:space="0" w:color="9FAAC4"/>
              <w:right w:val="single" w:sz="4" w:space="0" w:color="9FAAC4"/>
            </w:tcBorders>
          </w:tcPr>
          <w:p w14:paraId="0DF74B17" w14:textId="41A64E8B" w:rsidR="00FB6638" w:rsidRPr="008F138F" w:rsidRDefault="00FB6638" w:rsidP="00FB6638">
            <w:pPr>
              <w:rPr>
                <w:rFonts w:ascii="Avenir Next LT Pro" w:hAnsi="Avenir Next LT Pro"/>
                <w:b w:val="0"/>
                <w:bCs/>
                <w:sz w:val="21"/>
                <w:szCs w:val="21"/>
              </w:rPr>
            </w:pPr>
            <w:r w:rsidRPr="008F138F">
              <w:rPr>
                <w:rFonts w:ascii="Avenir Next LT Pro" w:hAnsi="Avenir Next LT Pro"/>
                <w:b w:val="0"/>
                <w:bCs/>
                <w:sz w:val="21"/>
                <w:szCs w:val="21"/>
              </w:rPr>
              <w:t xml:space="preserve">Information relating to any current absence or any notification of a future absence </w:t>
            </w:r>
          </w:p>
        </w:tc>
        <w:tc>
          <w:tcPr>
            <w:tcW w:w="2126" w:type="dxa"/>
            <w:tcBorders>
              <w:top w:val="single" w:sz="4" w:space="0" w:color="9FAAC4"/>
              <w:left w:val="single" w:sz="4" w:space="0" w:color="9FAAC4"/>
              <w:bottom w:val="single" w:sz="4" w:space="0" w:color="9FAAC4"/>
            </w:tcBorders>
          </w:tcPr>
          <w:p w14:paraId="63087B9C" w14:textId="77777777" w:rsidR="00FB6638" w:rsidRPr="000F2D2C" w:rsidRDefault="00FB6638" w:rsidP="00FB6638">
            <w:pPr>
              <w:rPr>
                <w:rFonts w:ascii="Avenir Next LT Pro" w:hAnsi="Avenir Next LT Pro" w:cs="Arial"/>
                <w:b w:val="0"/>
                <w:bCs/>
                <w:sz w:val="21"/>
                <w:szCs w:val="21"/>
              </w:rPr>
            </w:pPr>
          </w:p>
        </w:tc>
      </w:tr>
      <w:tr w:rsidR="00FB6638" w:rsidRPr="0099024B" w14:paraId="36E013C5" w14:textId="77777777" w:rsidTr="00590B89">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auto"/>
          </w:tcPr>
          <w:p w14:paraId="2165B7E0" w14:textId="24200BD4" w:rsidR="00FB6638" w:rsidRPr="008F138F" w:rsidRDefault="00FB6638" w:rsidP="00FB6638">
            <w:pPr>
              <w:rPr>
                <w:rFonts w:ascii="Avenir Next LT Pro" w:hAnsi="Avenir Next LT Pro"/>
                <w:b w:val="0"/>
                <w:bCs/>
                <w:sz w:val="21"/>
                <w:szCs w:val="21"/>
              </w:rPr>
            </w:pPr>
            <w:r w:rsidRPr="008F138F">
              <w:rPr>
                <w:rFonts w:ascii="Avenir Next LT Pro" w:hAnsi="Avenir Next LT Pro"/>
                <w:b w:val="0"/>
                <w:bCs/>
                <w:sz w:val="21"/>
                <w:szCs w:val="21"/>
              </w:rPr>
              <w:t xml:space="preserve">Any informal disciplinary cautions </w:t>
            </w:r>
          </w:p>
        </w:tc>
        <w:tc>
          <w:tcPr>
            <w:tcW w:w="2126" w:type="dxa"/>
            <w:tcBorders>
              <w:top w:val="single" w:sz="4" w:space="0" w:color="9FAAC4"/>
              <w:left w:val="single" w:sz="4" w:space="0" w:color="9FAAC4"/>
              <w:bottom w:val="single" w:sz="4" w:space="0" w:color="9FAAC4"/>
            </w:tcBorders>
            <w:shd w:val="clear" w:color="auto" w:fill="auto"/>
          </w:tcPr>
          <w:p w14:paraId="564BD966" w14:textId="77777777" w:rsidR="00FB6638" w:rsidRPr="000F2D2C" w:rsidRDefault="00FB6638" w:rsidP="00FB6638">
            <w:pPr>
              <w:rPr>
                <w:rFonts w:ascii="Avenir Next LT Pro" w:hAnsi="Avenir Next LT Pro" w:cs="Arial"/>
                <w:b w:val="0"/>
                <w:bCs/>
                <w:sz w:val="21"/>
                <w:szCs w:val="21"/>
              </w:rPr>
            </w:pPr>
          </w:p>
        </w:tc>
      </w:tr>
      <w:tr w:rsidR="002534E1" w:rsidRPr="0099024B" w14:paraId="7BFFD933" w14:textId="77777777" w:rsidTr="006601A2">
        <w:tc>
          <w:tcPr>
            <w:tcW w:w="7797" w:type="dxa"/>
            <w:tcBorders>
              <w:top w:val="single" w:sz="4" w:space="0" w:color="9FAAC4"/>
              <w:bottom w:val="single" w:sz="4" w:space="0" w:color="9FAAC4"/>
              <w:right w:val="single" w:sz="4" w:space="0" w:color="9FAAC4"/>
            </w:tcBorders>
          </w:tcPr>
          <w:p w14:paraId="3ADB8681" w14:textId="51DE2B6F" w:rsidR="002534E1" w:rsidRPr="008F138F" w:rsidRDefault="002534E1" w:rsidP="002534E1">
            <w:pPr>
              <w:rPr>
                <w:rFonts w:ascii="Avenir Next LT Pro" w:hAnsi="Avenir Next LT Pro"/>
                <w:b w:val="0"/>
                <w:bCs/>
                <w:sz w:val="21"/>
                <w:szCs w:val="21"/>
              </w:rPr>
            </w:pPr>
            <w:r w:rsidRPr="008F138F">
              <w:rPr>
                <w:rFonts w:ascii="Avenir Next LT Pro" w:hAnsi="Avenir Next LT Pro"/>
                <w:b w:val="0"/>
                <w:bCs/>
                <w:sz w:val="21"/>
                <w:szCs w:val="21"/>
              </w:rPr>
              <w:t xml:space="preserve">Any individual risk assessments </w:t>
            </w:r>
          </w:p>
        </w:tc>
        <w:tc>
          <w:tcPr>
            <w:tcW w:w="2126" w:type="dxa"/>
            <w:tcBorders>
              <w:top w:val="single" w:sz="4" w:space="0" w:color="9FAAC4"/>
              <w:left w:val="single" w:sz="4" w:space="0" w:color="9FAAC4"/>
              <w:bottom w:val="single" w:sz="4" w:space="0" w:color="9FAAC4"/>
            </w:tcBorders>
          </w:tcPr>
          <w:p w14:paraId="12C3C8ED" w14:textId="77777777" w:rsidR="002534E1" w:rsidRPr="000F2D2C" w:rsidRDefault="002534E1" w:rsidP="002534E1">
            <w:pPr>
              <w:rPr>
                <w:rFonts w:ascii="Avenir Next LT Pro" w:hAnsi="Avenir Next LT Pro" w:cs="Arial"/>
                <w:b w:val="0"/>
                <w:bCs/>
                <w:sz w:val="21"/>
                <w:szCs w:val="21"/>
              </w:rPr>
            </w:pPr>
          </w:p>
        </w:tc>
      </w:tr>
      <w:tr w:rsidR="002534E1" w:rsidRPr="0099024B" w14:paraId="3AACB01B" w14:textId="77777777" w:rsidTr="00590B89">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auto"/>
          </w:tcPr>
          <w:p w14:paraId="213C8712" w14:textId="53352E45" w:rsidR="002534E1" w:rsidRPr="008F138F" w:rsidRDefault="002534E1" w:rsidP="002534E1">
            <w:pPr>
              <w:rPr>
                <w:rFonts w:ascii="Avenir Next LT Pro" w:hAnsi="Avenir Next LT Pro"/>
                <w:b w:val="0"/>
                <w:bCs/>
                <w:sz w:val="21"/>
                <w:szCs w:val="21"/>
              </w:rPr>
            </w:pPr>
            <w:r w:rsidRPr="008F138F">
              <w:rPr>
                <w:rFonts w:ascii="Avenir Next LT Pro" w:hAnsi="Avenir Next LT Pro"/>
                <w:b w:val="0"/>
                <w:bCs/>
                <w:sz w:val="21"/>
                <w:szCs w:val="21"/>
              </w:rPr>
              <w:t xml:space="preserve">Any requests for early retirement or flexible working </w:t>
            </w:r>
          </w:p>
        </w:tc>
        <w:tc>
          <w:tcPr>
            <w:tcW w:w="2126" w:type="dxa"/>
            <w:tcBorders>
              <w:top w:val="single" w:sz="4" w:space="0" w:color="9FAAC4"/>
              <w:left w:val="single" w:sz="4" w:space="0" w:color="9FAAC4"/>
              <w:bottom w:val="single" w:sz="4" w:space="0" w:color="9FAAC4"/>
            </w:tcBorders>
            <w:shd w:val="clear" w:color="auto" w:fill="auto"/>
          </w:tcPr>
          <w:p w14:paraId="2A1675A9" w14:textId="77777777" w:rsidR="002534E1" w:rsidRPr="000F2D2C" w:rsidRDefault="002534E1" w:rsidP="002534E1">
            <w:pPr>
              <w:rPr>
                <w:rFonts w:ascii="Avenir Next LT Pro" w:hAnsi="Avenir Next LT Pro" w:cs="Arial"/>
                <w:b w:val="0"/>
                <w:bCs/>
                <w:sz w:val="21"/>
                <w:szCs w:val="21"/>
              </w:rPr>
            </w:pPr>
          </w:p>
        </w:tc>
      </w:tr>
      <w:tr w:rsidR="002534E1" w:rsidRPr="0099024B" w14:paraId="219357D8" w14:textId="77777777" w:rsidTr="006601A2">
        <w:tc>
          <w:tcPr>
            <w:tcW w:w="7797" w:type="dxa"/>
            <w:tcBorders>
              <w:top w:val="single" w:sz="4" w:space="0" w:color="9FAAC4"/>
              <w:bottom w:val="single" w:sz="4" w:space="0" w:color="9FAAC4"/>
              <w:right w:val="single" w:sz="4" w:space="0" w:color="9FAAC4"/>
            </w:tcBorders>
          </w:tcPr>
          <w:p w14:paraId="0DECE23D" w14:textId="3A3CEAF4" w:rsidR="002534E1" w:rsidRPr="008F138F" w:rsidRDefault="002534E1" w:rsidP="002534E1">
            <w:pPr>
              <w:rPr>
                <w:rFonts w:ascii="Avenir Next LT Pro" w:hAnsi="Avenir Next LT Pro"/>
                <w:b w:val="0"/>
                <w:bCs/>
                <w:sz w:val="21"/>
                <w:szCs w:val="21"/>
              </w:rPr>
            </w:pPr>
            <w:r w:rsidRPr="008F138F">
              <w:rPr>
                <w:rFonts w:ascii="Avenir Next LT Pro" w:hAnsi="Avenir Next LT Pro"/>
                <w:b w:val="0"/>
                <w:bCs/>
                <w:sz w:val="21"/>
                <w:szCs w:val="21"/>
              </w:rPr>
              <w:t xml:space="preserve">Any leave taken in last 3 years </w:t>
            </w:r>
          </w:p>
        </w:tc>
        <w:tc>
          <w:tcPr>
            <w:tcW w:w="2126" w:type="dxa"/>
            <w:tcBorders>
              <w:top w:val="single" w:sz="4" w:space="0" w:color="9FAAC4"/>
              <w:left w:val="single" w:sz="4" w:space="0" w:color="9FAAC4"/>
              <w:bottom w:val="single" w:sz="4" w:space="0" w:color="9FAAC4"/>
            </w:tcBorders>
          </w:tcPr>
          <w:p w14:paraId="53AFFD40" w14:textId="77777777" w:rsidR="002534E1" w:rsidRPr="000F2D2C" w:rsidRDefault="002534E1" w:rsidP="002534E1">
            <w:pPr>
              <w:rPr>
                <w:rFonts w:ascii="Avenir Next LT Pro" w:hAnsi="Avenir Next LT Pro" w:cs="Arial"/>
                <w:b w:val="0"/>
                <w:bCs/>
                <w:sz w:val="21"/>
                <w:szCs w:val="21"/>
              </w:rPr>
            </w:pPr>
          </w:p>
        </w:tc>
      </w:tr>
      <w:tr w:rsidR="002534E1" w:rsidRPr="0099024B" w14:paraId="3F95691B" w14:textId="77777777" w:rsidTr="00590B89">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auto"/>
          </w:tcPr>
          <w:p w14:paraId="0E738FF8" w14:textId="4E0E5CF8" w:rsidR="002534E1" w:rsidRPr="008F138F" w:rsidRDefault="002534E1" w:rsidP="002534E1">
            <w:pPr>
              <w:rPr>
                <w:rFonts w:ascii="Avenir Next LT Pro" w:hAnsi="Avenir Next LT Pro"/>
                <w:b w:val="0"/>
                <w:bCs/>
                <w:sz w:val="21"/>
                <w:szCs w:val="21"/>
              </w:rPr>
            </w:pPr>
            <w:r w:rsidRPr="008F138F">
              <w:rPr>
                <w:rFonts w:ascii="Avenir Next LT Pro" w:hAnsi="Avenir Next LT Pro"/>
                <w:b w:val="0"/>
                <w:bCs/>
                <w:sz w:val="21"/>
                <w:szCs w:val="21"/>
              </w:rPr>
              <w:t xml:space="preserve">Periods of time off for training </w:t>
            </w:r>
          </w:p>
        </w:tc>
        <w:tc>
          <w:tcPr>
            <w:tcW w:w="2126" w:type="dxa"/>
            <w:tcBorders>
              <w:top w:val="single" w:sz="4" w:space="0" w:color="9FAAC4"/>
              <w:left w:val="single" w:sz="4" w:space="0" w:color="9FAAC4"/>
              <w:bottom w:val="single" w:sz="4" w:space="0" w:color="9FAAC4"/>
            </w:tcBorders>
            <w:shd w:val="clear" w:color="auto" w:fill="auto"/>
          </w:tcPr>
          <w:p w14:paraId="0266DF69" w14:textId="77777777" w:rsidR="002534E1" w:rsidRPr="000F2D2C" w:rsidRDefault="002534E1" w:rsidP="002534E1">
            <w:pPr>
              <w:rPr>
                <w:rFonts w:ascii="Avenir Next LT Pro" w:hAnsi="Avenir Next LT Pro" w:cs="Arial"/>
                <w:b w:val="0"/>
                <w:bCs/>
                <w:sz w:val="21"/>
                <w:szCs w:val="21"/>
              </w:rPr>
            </w:pPr>
          </w:p>
        </w:tc>
      </w:tr>
      <w:tr w:rsidR="00B51318" w:rsidRPr="0099024B" w14:paraId="23485F41" w14:textId="77777777" w:rsidTr="006601A2">
        <w:tc>
          <w:tcPr>
            <w:tcW w:w="7797" w:type="dxa"/>
            <w:tcBorders>
              <w:top w:val="single" w:sz="4" w:space="0" w:color="9FAAC4"/>
              <w:bottom w:val="single" w:sz="4" w:space="0" w:color="9FAAC4"/>
              <w:right w:val="single" w:sz="4" w:space="0" w:color="9FAAC4"/>
            </w:tcBorders>
          </w:tcPr>
          <w:p w14:paraId="61EDFFDC" w14:textId="6446D5C9" w:rsidR="00B51318" w:rsidRPr="008F138F" w:rsidRDefault="00B51318" w:rsidP="00B51318">
            <w:pPr>
              <w:rPr>
                <w:rFonts w:ascii="Avenir Next LT Pro" w:hAnsi="Avenir Next LT Pro"/>
                <w:b w:val="0"/>
                <w:bCs/>
                <w:sz w:val="21"/>
                <w:szCs w:val="21"/>
              </w:rPr>
            </w:pPr>
            <w:r w:rsidRPr="008F138F">
              <w:rPr>
                <w:rFonts w:ascii="Avenir Next LT Pro" w:hAnsi="Avenir Next LT Pro"/>
                <w:b w:val="0"/>
                <w:bCs/>
                <w:sz w:val="21"/>
                <w:szCs w:val="21"/>
              </w:rPr>
              <w:t>Study agreements</w:t>
            </w:r>
          </w:p>
        </w:tc>
        <w:tc>
          <w:tcPr>
            <w:tcW w:w="2126" w:type="dxa"/>
            <w:tcBorders>
              <w:top w:val="single" w:sz="4" w:space="0" w:color="9FAAC4"/>
              <w:left w:val="single" w:sz="4" w:space="0" w:color="9FAAC4"/>
              <w:bottom w:val="single" w:sz="4" w:space="0" w:color="9FAAC4"/>
            </w:tcBorders>
          </w:tcPr>
          <w:p w14:paraId="027D7D9B" w14:textId="77777777" w:rsidR="00B51318" w:rsidRPr="000F2D2C" w:rsidRDefault="00B51318" w:rsidP="00B51318">
            <w:pPr>
              <w:rPr>
                <w:rFonts w:ascii="Avenir Next LT Pro" w:hAnsi="Avenir Next LT Pro" w:cs="Arial"/>
                <w:b w:val="0"/>
                <w:bCs/>
                <w:sz w:val="21"/>
                <w:szCs w:val="21"/>
              </w:rPr>
            </w:pPr>
          </w:p>
        </w:tc>
      </w:tr>
      <w:tr w:rsidR="00B51318" w:rsidRPr="0099024B" w14:paraId="7630D4BC" w14:textId="77777777" w:rsidTr="00590B89">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auto"/>
          </w:tcPr>
          <w:p w14:paraId="2A7B0015" w14:textId="0C8463FA" w:rsidR="00B51318" w:rsidRPr="008F138F" w:rsidRDefault="00B51318" w:rsidP="00B51318">
            <w:pPr>
              <w:rPr>
                <w:rFonts w:ascii="Avenir Next LT Pro" w:hAnsi="Avenir Next LT Pro"/>
                <w:b w:val="0"/>
                <w:bCs/>
                <w:sz w:val="21"/>
                <w:szCs w:val="21"/>
              </w:rPr>
            </w:pPr>
            <w:r w:rsidRPr="008F138F">
              <w:rPr>
                <w:rFonts w:ascii="Avenir Next LT Pro" w:hAnsi="Avenir Next LT Pro"/>
                <w:b w:val="0"/>
                <w:bCs/>
                <w:sz w:val="21"/>
                <w:szCs w:val="21"/>
              </w:rPr>
              <w:t xml:space="preserve">Any disciplinary/capability information involving a warning (Please note that ELI only requires a </w:t>
            </w:r>
            <w:proofErr w:type="gramStart"/>
            <w:r w:rsidRPr="008F138F">
              <w:rPr>
                <w:rFonts w:ascii="Avenir Next LT Pro" w:hAnsi="Avenir Next LT Pro"/>
                <w:b w:val="0"/>
                <w:bCs/>
                <w:sz w:val="21"/>
                <w:szCs w:val="21"/>
              </w:rPr>
              <w:t>two year</w:t>
            </w:r>
            <w:proofErr w:type="gramEnd"/>
            <w:r w:rsidRPr="008F138F">
              <w:rPr>
                <w:rFonts w:ascii="Avenir Next LT Pro" w:hAnsi="Avenir Next LT Pro"/>
                <w:b w:val="0"/>
                <w:bCs/>
                <w:sz w:val="21"/>
                <w:szCs w:val="21"/>
              </w:rPr>
              <w:t xml:space="preserve"> period but no period of time is referred to in the Commercial Agreement) </w:t>
            </w:r>
          </w:p>
        </w:tc>
        <w:tc>
          <w:tcPr>
            <w:tcW w:w="2126" w:type="dxa"/>
            <w:tcBorders>
              <w:top w:val="single" w:sz="4" w:space="0" w:color="9FAAC4"/>
              <w:left w:val="single" w:sz="4" w:space="0" w:color="9FAAC4"/>
              <w:bottom w:val="single" w:sz="4" w:space="0" w:color="9FAAC4"/>
            </w:tcBorders>
            <w:shd w:val="clear" w:color="auto" w:fill="auto"/>
          </w:tcPr>
          <w:p w14:paraId="4BBEEA56" w14:textId="77777777" w:rsidR="00B51318" w:rsidRPr="000F2D2C" w:rsidRDefault="00B51318" w:rsidP="00B51318">
            <w:pPr>
              <w:rPr>
                <w:rFonts w:ascii="Avenir Next LT Pro" w:hAnsi="Avenir Next LT Pro" w:cs="Arial"/>
                <w:b w:val="0"/>
                <w:bCs/>
                <w:sz w:val="21"/>
                <w:szCs w:val="21"/>
              </w:rPr>
            </w:pPr>
          </w:p>
        </w:tc>
      </w:tr>
      <w:tr w:rsidR="00B51318" w:rsidRPr="0099024B" w14:paraId="35FB1810" w14:textId="77777777" w:rsidTr="00590B89">
        <w:tc>
          <w:tcPr>
            <w:tcW w:w="7797" w:type="dxa"/>
            <w:tcBorders>
              <w:top w:val="single" w:sz="4" w:space="0" w:color="9FAAC4"/>
              <w:bottom w:val="single" w:sz="4" w:space="0" w:color="9FAAC4"/>
              <w:right w:val="single" w:sz="4" w:space="0" w:color="9FAAC4"/>
            </w:tcBorders>
          </w:tcPr>
          <w:p w14:paraId="386757C3" w14:textId="4DFC2D22" w:rsidR="00B51318" w:rsidRPr="008F138F" w:rsidRDefault="00B51318" w:rsidP="00B51318">
            <w:pPr>
              <w:rPr>
                <w:rFonts w:ascii="Avenir Next LT Pro" w:hAnsi="Avenir Next LT Pro"/>
                <w:b w:val="0"/>
                <w:bCs/>
                <w:sz w:val="21"/>
                <w:szCs w:val="21"/>
              </w:rPr>
            </w:pPr>
            <w:r w:rsidRPr="008F138F">
              <w:rPr>
                <w:rFonts w:ascii="Avenir Next LT Pro" w:hAnsi="Avenir Next LT Pro"/>
                <w:b w:val="0"/>
                <w:bCs/>
                <w:sz w:val="21"/>
                <w:szCs w:val="21"/>
              </w:rPr>
              <w:t xml:space="preserve">Statement of particulars/Contract of employment and any amendments </w:t>
            </w:r>
          </w:p>
        </w:tc>
        <w:tc>
          <w:tcPr>
            <w:tcW w:w="2126" w:type="dxa"/>
            <w:tcBorders>
              <w:top w:val="single" w:sz="4" w:space="0" w:color="9FAAC4"/>
              <w:left w:val="single" w:sz="4" w:space="0" w:color="9FAAC4"/>
              <w:bottom w:val="single" w:sz="4" w:space="0" w:color="9FAAC4"/>
            </w:tcBorders>
          </w:tcPr>
          <w:p w14:paraId="6F9EB10C" w14:textId="77777777" w:rsidR="00B51318" w:rsidRPr="000F2D2C" w:rsidRDefault="00B51318" w:rsidP="00B51318">
            <w:pPr>
              <w:rPr>
                <w:rFonts w:ascii="Avenir Next LT Pro" w:hAnsi="Avenir Next LT Pro" w:cs="Arial"/>
                <w:b w:val="0"/>
                <w:bCs/>
                <w:sz w:val="21"/>
                <w:szCs w:val="21"/>
              </w:rPr>
            </w:pPr>
          </w:p>
        </w:tc>
      </w:tr>
      <w:tr w:rsidR="00D818FC" w:rsidRPr="0099024B" w14:paraId="0E0D6167" w14:textId="77777777" w:rsidTr="000469C1">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auto"/>
          </w:tcPr>
          <w:p w14:paraId="7CD6FDA4" w14:textId="53297574" w:rsidR="00D818FC" w:rsidRPr="008F138F" w:rsidRDefault="00D818FC" w:rsidP="00D818FC">
            <w:pPr>
              <w:rPr>
                <w:rFonts w:ascii="Avenir Next LT Pro" w:hAnsi="Avenir Next LT Pro"/>
                <w:b w:val="0"/>
                <w:bCs/>
                <w:sz w:val="21"/>
                <w:szCs w:val="21"/>
              </w:rPr>
            </w:pPr>
            <w:r w:rsidRPr="008F138F">
              <w:rPr>
                <w:rFonts w:ascii="Avenir Next LT Pro" w:hAnsi="Avenir Next LT Pro"/>
                <w:b w:val="0"/>
                <w:bCs/>
                <w:sz w:val="21"/>
                <w:szCs w:val="21"/>
              </w:rPr>
              <w:t xml:space="preserve">Job description </w:t>
            </w:r>
          </w:p>
        </w:tc>
        <w:tc>
          <w:tcPr>
            <w:tcW w:w="2126" w:type="dxa"/>
            <w:tcBorders>
              <w:top w:val="single" w:sz="4" w:space="0" w:color="9FAAC4"/>
              <w:left w:val="single" w:sz="4" w:space="0" w:color="9FAAC4"/>
              <w:bottom w:val="single" w:sz="4" w:space="0" w:color="9FAAC4"/>
            </w:tcBorders>
            <w:shd w:val="clear" w:color="auto" w:fill="auto"/>
          </w:tcPr>
          <w:p w14:paraId="5ECD88FE" w14:textId="77777777" w:rsidR="00D818FC" w:rsidRPr="000F2D2C" w:rsidRDefault="00D818FC" w:rsidP="00D818FC">
            <w:pPr>
              <w:rPr>
                <w:rFonts w:ascii="Avenir Next LT Pro" w:hAnsi="Avenir Next LT Pro" w:cs="Arial"/>
                <w:b w:val="0"/>
                <w:bCs/>
                <w:sz w:val="21"/>
                <w:szCs w:val="21"/>
              </w:rPr>
            </w:pPr>
          </w:p>
        </w:tc>
      </w:tr>
      <w:tr w:rsidR="00D818FC" w:rsidRPr="0099024B" w14:paraId="063196C5" w14:textId="77777777" w:rsidTr="00590B89">
        <w:tc>
          <w:tcPr>
            <w:tcW w:w="7797" w:type="dxa"/>
            <w:tcBorders>
              <w:top w:val="single" w:sz="4" w:space="0" w:color="9FAAC4"/>
              <w:bottom w:val="single" w:sz="4" w:space="0" w:color="9FAAC4"/>
              <w:right w:val="single" w:sz="4" w:space="0" w:color="9FAAC4"/>
            </w:tcBorders>
          </w:tcPr>
          <w:p w14:paraId="2F4D6788" w14:textId="788BB316" w:rsidR="00D818FC" w:rsidRPr="008F138F" w:rsidRDefault="00D818FC" w:rsidP="00D818FC">
            <w:pPr>
              <w:rPr>
                <w:rFonts w:ascii="Avenir Next LT Pro" w:hAnsi="Avenir Next LT Pro"/>
                <w:b w:val="0"/>
                <w:bCs/>
                <w:sz w:val="21"/>
                <w:szCs w:val="21"/>
              </w:rPr>
            </w:pPr>
            <w:r w:rsidRPr="008F138F">
              <w:rPr>
                <w:rFonts w:ascii="Avenir Next LT Pro" w:hAnsi="Avenir Next LT Pro"/>
                <w:b w:val="0"/>
                <w:bCs/>
                <w:sz w:val="21"/>
                <w:szCs w:val="21"/>
              </w:rPr>
              <w:t xml:space="preserve">Grievances covering </w:t>
            </w:r>
            <w:proofErr w:type="gramStart"/>
            <w:r w:rsidRPr="008F138F">
              <w:rPr>
                <w:rFonts w:ascii="Avenir Next LT Pro" w:hAnsi="Avenir Next LT Pro"/>
                <w:b w:val="0"/>
                <w:bCs/>
                <w:sz w:val="21"/>
                <w:szCs w:val="21"/>
              </w:rPr>
              <w:t>2 year</w:t>
            </w:r>
            <w:proofErr w:type="gramEnd"/>
            <w:r w:rsidRPr="008F138F">
              <w:rPr>
                <w:rFonts w:ascii="Avenir Next LT Pro" w:hAnsi="Avenir Next LT Pro"/>
                <w:b w:val="0"/>
                <w:bCs/>
                <w:sz w:val="21"/>
                <w:szCs w:val="21"/>
              </w:rPr>
              <w:t xml:space="preserve"> period of time </w:t>
            </w:r>
          </w:p>
        </w:tc>
        <w:tc>
          <w:tcPr>
            <w:tcW w:w="2126" w:type="dxa"/>
            <w:tcBorders>
              <w:top w:val="single" w:sz="4" w:space="0" w:color="9FAAC4"/>
              <w:left w:val="single" w:sz="4" w:space="0" w:color="9FAAC4"/>
              <w:bottom w:val="single" w:sz="4" w:space="0" w:color="9FAAC4"/>
            </w:tcBorders>
          </w:tcPr>
          <w:p w14:paraId="4789A2A6" w14:textId="77777777" w:rsidR="00D818FC" w:rsidRPr="000F2D2C" w:rsidRDefault="00D818FC" w:rsidP="00D818FC">
            <w:pPr>
              <w:rPr>
                <w:rFonts w:ascii="Avenir Next LT Pro" w:hAnsi="Avenir Next LT Pro" w:cs="Arial"/>
                <w:b w:val="0"/>
                <w:bCs/>
                <w:sz w:val="21"/>
                <w:szCs w:val="21"/>
              </w:rPr>
            </w:pPr>
          </w:p>
        </w:tc>
      </w:tr>
      <w:tr w:rsidR="00D818FC" w:rsidRPr="0099024B" w14:paraId="7ACFFF6B" w14:textId="77777777" w:rsidTr="000469C1">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auto"/>
          </w:tcPr>
          <w:p w14:paraId="3771BC96" w14:textId="22624BEE" w:rsidR="00D818FC" w:rsidRPr="008F138F" w:rsidRDefault="00D818FC" w:rsidP="00D818FC">
            <w:pPr>
              <w:rPr>
                <w:rFonts w:ascii="Avenir Next LT Pro" w:hAnsi="Avenir Next LT Pro"/>
                <w:b w:val="0"/>
                <w:bCs/>
                <w:sz w:val="21"/>
                <w:szCs w:val="21"/>
              </w:rPr>
            </w:pPr>
            <w:r w:rsidRPr="008F138F">
              <w:rPr>
                <w:rFonts w:ascii="Avenir Next LT Pro" w:hAnsi="Avenir Next LT Pro"/>
                <w:b w:val="0"/>
                <w:bCs/>
                <w:sz w:val="21"/>
                <w:szCs w:val="21"/>
              </w:rPr>
              <w:t>Annual leave card (if applicable)</w:t>
            </w:r>
          </w:p>
        </w:tc>
        <w:tc>
          <w:tcPr>
            <w:tcW w:w="2126" w:type="dxa"/>
            <w:tcBorders>
              <w:top w:val="single" w:sz="4" w:space="0" w:color="9FAAC4"/>
              <w:left w:val="single" w:sz="4" w:space="0" w:color="9FAAC4"/>
              <w:bottom w:val="single" w:sz="4" w:space="0" w:color="9FAAC4"/>
            </w:tcBorders>
            <w:shd w:val="clear" w:color="auto" w:fill="auto"/>
          </w:tcPr>
          <w:p w14:paraId="215CA91A" w14:textId="77777777" w:rsidR="00D818FC" w:rsidRPr="000F2D2C" w:rsidRDefault="00D818FC" w:rsidP="00D818FC">
            <w:pPr>
              <w:rPr>
                <w:rFonts w:ascii="Avenir Next LT Pro" w:hAnsi="Avenir Next LT Pro" w:cs="Arial"/>
                <w:b w:val="0"/>
                <w:bCs/>
                <w:sz w:val="21"/>
                <w:szCs w:val="21"/>
              </w:rPr>
            </w:pPr>
          </w:p>
        </w:tc>
      </w:tr>
      <w:tr w:rsidR="00E74F31" w:rsidRPr="0099024B" w14:paraId="7F66F2C3" w14:textId="77777777" w:rsidTr="00590B89">
        <w:tc>
          <w:tcPr>
            <w:tcW w:w="7797" w:type="dxa"/>
            <w:tcBorders>
              <w:top w:val="single" w:sz="4" w:space="0" w:color="9FAAC4"/>
              <w:bottom w:val="single" w:sz="4" w:space="0" w:color="9FAAC4"/>
              <w:right w:val="single" w:sz="4" w:space="0" w:color="9FAAC4"/>
            </w:tcBorders>
          </w:tcPr>
          <w:p w14:paraId="561D9501" w14:textId="6002BC99" w:rsidR="00E74F31" w:rsidRPr="008F138F" w:rsidRDefault="00E74F31" w:rsidP="00E74F31">
            <w:pPr>
              <w:rPr>
                <w:rFonts w:ascii="Avenir Next LT Pro" w:hAnsi="Avenir Next LT Pro"/>
                <w:b w:val="0"/>
                <w:bCs/>
                <w:sz w:val="21"/>
                <w:szCs w:val="21"/>
              </w:rPr>
            </w:pPr>
            <w:r w:rsidRPr="008F138F">
              <w:rPr>
                <w:rFonts w:ascii="Avenir Next LT Pro" w:hAnsi="Avenir Next LT Pro"/>
                <w:b w:val="0"/>
                <w:bCs/>
                <w:sz w:val="21"/>
                <w:szCs w:val="21"/>
              </w:rPr>
              <w:t xml:space="preserve">Work permits </w:t>
            </w:r>
          </w:p>
        </w:tc>
        <w:tc>
          <w:tcPr>
            <w:tcW w:w="2126" w:type="dxa"/>
            <w:tcBorders>
              <w:top w:val="single" w:sz="4" w:space="0" w:color="9FAAC4"/>
              <w:left w:val="single" w:sz="4" w:space="0" w:color="9FAAC4"/>
              <w:bottom w:val="single" w:sz="4" w:space="0" w:color="9FAAC4"/>
            </w:tcBorders>
          </w:tcPr>
          <w:p w14:paraId="47EA37AE" w14:textId="77777777" w:rsidR="00E74F31" w:rsidRPr="000F2D2C" w:rsidRDefault="00E74F31" w:rsidP="00E74F31">
            <w:pPr>
              <w:rPr>
                <w:rFonts w:ascii="Avenir Next LT Pro" w:hAnsi="Avenir Next LT Pro" w:cs="Arial"/>
                <w:b w:val="0"/>
                <w:bCs/>
                <w:sz w:val="21"/>
                <w:szCs w:val="21"/>
              </w:rPr>
            </w:pPr>
          </w:p>
        </w:tc>
      </w:tr>
      <w:tr w:rsidR="00E74F31" w:rsidRPr="0099024B" w14:paraId="6ED498B8" w14:textId="77777777" w:rsidTr="000469C1">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auto"/>
          </w:tcPr>
          <w:p w14:paraId="2B7C19E7" w14:textId="640A276D" w:rsidR="00E74F31" w:rsidRPr="008F138F" w:rsidRDefault="00E74F31" w:rsidP="00E74F31">
            <w:pPr>
              <w:rPr>
                <w:rFonts w:ascii="Avenir Next LT Pro" w:hAnsi="Avenir Next LT Pro"/>
                <w:b w:val="0"/>
                <w:bCs/>
                <w:sz w:val="21"/>
                <w:szCs w:val="21"/>
              </w:rPr>
            </w:pPr>
            <w:r w:rsidRPr="008F138F">
              <w:rPr>
                <w:rFonts w:ascii="Avenir Next LT Pro" w:hAnsi="Avenir Next LT Pro"/>
                <w:b w:val="0"/>
                <w:bCs/>
                <w:sz w:val="21"/>
                <w:szCs w:val="21"/>
              </w:rPr>
              <w:t>The new employer (the "transferee") must carry out its own checks on its new employees' original immigration documentation within 60 days of the transfer</w:t>
            </w:r>
          </w:p>
        </w:tc>
        <w:tc>
          <w:tcPr>
            <w:tcW w:w="2126" w:type="dxa"/>
            <w:tcBorders>
              <w:top w:val="single" w:sz="4" w:space="0" w:color="9FAAC4"/>
              <w:left w:val="single" w:sz="4" w:space="0" w:color="9FAAC4"/>
              <w:bottom w:val="single" w:sz="4" w:space="0" w:color="9FAAC4"/>
            </w:tcBorders>
            <w:shd w:val="clear" w:color="auto" w:fill="auto"/>
          </w:tcPr>
          <w:p w14:paraId="52FA7E85" w14:textId="77777777" w:rsidR="00E74F31" w:rsidRPr="000F2D2C" w:rsidRDefault="00E74F31" w:rsidP="00E74F31">
            <w:pPr>
              <w:rPr>
                <w:rFonts w:ascii="Avenir Next LT Pro" w:hAnsi="Avenir Next LT Pro" w:cs="Arial"/>
                <w:b w:val="0"/>
                <w:bCs/>
                <w:sz w:val="21"/>
                <w:szCs w:val="21"/>
              </w:rPr>
            </w:pPr>
          </w:p>
        </w:tc>
      </w:tr>
      <w:tr w:rsidR="00E74F31" w:rsidRPr="0099024B" w14:paraId="37530565" w14:textId="77777777" w:rsidTr="006601A2">
        <w:tc>
          <w:tcPr>
            <w:tcW w:w="7797" w:type="dxa"/>
            <w:tcBorders>
              <w:top w:val="single" w:sz="4" w:space="0" w:color="9FAAC4"/>
              <w:bottom w:val="single" w:sz="18" w:space="0" w:color="242E55"/>
              <w:right w:val="single" w:sz="4" w:space="0" w:color="9FAAC4"/>
            </w:tcBorders>
          </w:tcPr>
          <w:p w14:paraId="38DCDCE5" w14:textId="74976560" w:rsidR="00E74F31" w:rsidRPr="008F138F" w:rsidRDefault="00E74F31" w:rsidP="00E74F31">
            <w:pPr>
              <w:rPr>
                <w:rFonts w:ascii="Avenir Next LT Pro" w:hAnsi="Avenir Next LT Pro"/>
                <w:b w:val="0"/>
                <w:bCs/>
                <w:sz w:val="21"/>
                <w:szCs w:val="21"/>
              </w:rPr>
            </w:pPr>
            <w:r w:rsidRPr="008F138F">
              <w:rPr>
                <w:rFonts w:ascii="Avenir Next LT Pro" w:hAnsi="Avenir Next LT Pro"/>
                <w:b w:val="0"/>
                <w:bCs/>
                <w:sz w:val="21"/>
                <w:szCs w:val="21"/>
              </w:rPr>
              <w:t xml:space="preserve">Details of any other benefits in kind </w:t>
            </w:r>
          </w:p>
        </w:tc>
        <w:tc>
          <w:tcPr>
            <w:tcW w:w="2126" w:type="dxa"/>
            <w:tcBorders>
              <w:top w:val="single" w:sz="4" w:space="0" w:color="9FAAC4"/>
              <w:left w:val="single" w:sz="4" w:space="0" w:color="9FAAC4"/>
              <w:bottom w:val="single" w:sz="18" w:space="0" w:color="242E55"/>
            </w:tcBorders>
          </w:tcPr>
          <w:p w14:paraId="5FAE2875" w14:textId="77777777" w:rsidR="00E74F31" w:rsidRPr="000F2D2C" w:rsidRDefault="00E74F31" w:rsidP="00E74F31">
            <w:pPr>
              <w:rPr>
                <w:rFonts w:ascii="Avenir Next LT Pro" w:hAnsi="Avenir Next LT Pro" w:cs="Arial"/>
                <w:b w:val="0"/>
                <w:bCs/>
                <w:sz w:val="21"/>
                <w:szCs w:val="21"/>
              </w:rPr>
            </w:pPr>
          </w:p>
        </w:tc>
      </w:tr>
    </w:tbl>
    <w:p w14:paraId="5E9C550B" w14:textId="499477C7" w:rsidR="00D256DA" w:rsidRDefault="00D256DA" w:rsidP="00763D8B">
      <w:pPr>
        <w:rPr>
          <w:rFonts w:cs="Arial"/>
          <w:sz w:val="21"/>
          <w:szCs w:val="20"/>
        </w:rPr>
      </w:pPr>
    </w:p>
    <w:p w14:paraId="5FC3E170" w14:textId="77777777" w:rsidR="00D256DA" w:rsidRDefault="00D256DA">
      <w:pPr>
        <w:rPr>
          <w:rFonts w:cs="Arial"/>
          <w:sz w:val="21"/>
          <w:szCs w:val="20"/>
        </w:rPr>
      </w:pPr>
      <w:r>
        <w:rPr>
          <w:rFonts w:cs="Arial"/>
          <w:sz w:val="21"/>
          <w:szCs w:val="20"/>
        </w:rPr>
        <w:br w:type="page"/>
      </w:r>
    </w:p>
    <w:p w14:paraId="7D26839F" w14:textId="78AC5ED9" w:rsidR="00564E1B" w:rsidRDefault="00564E1B" w:rsidP="00763D8B">
      <w:pPr>
        <w:rPr>
          <w:rFonts w:cs="Arial"/>
          <w:sz w:val="21"/>
          <w:szCs w:val="20"/>
        </w:rPr>
      </w:pPr>
    </w:p>
    <w:tbl>
      <w:tblPr>
        <w:tblStyle w:val="EPMTableStyle"/>
        <w:tblW w:w="9923" w:type="dxa"/>
        <w:tblLook w:val="04A0" w:firstRow="1" w:lastRow="0" w:firstColumn="1" w:lastColumn="0" w:noHBand="0" w:noVBand="1"/>
      </w:tblPr>
      <w:tblGrid>
        <w:gridCol w:w="7797"/>
        <w:gridCol w:w="2126"/>
      </w:tblGrid>
      <w:tr w:rsidR="00D256DA" w:rsidRPr="0099024B" w14:paraId="6A4F2268" w14:textId="77777777" w:rsidTr="005B6E1E">
        <w:trPr>
          <w:cnfStyle w:val="100000000000" w:firstRow="1" w:lastRow="0" w:firstColumn="0" w:lastColumn="0" w:oddVBand="0" w:evenVBand="0" w:oddHBand="0" w:evenHBand="0" w:firstRowFirstColumn="0" w:firstRowLastColumn="0" w:lastRowFirstColumn="0" w:lastRowLastColumn="0"/>
        </w:trPr>
        <w:tc>
          <w:tcPr>
            <w:tcW w:w="7797" w:type="dxa"/>
            <w:tcBorders>
              <w:bottom w:val="single" w:sz="4" w:space="0" w:color="242E55"/>
            </w:tcBorders>
            <w:shd w:val="clear" w:color="auto" w:fill="242E54"/>
          </w:tcPr>
          <w:p w14:paraId="0E7C747C" w14:textId="41400237" w:rsidR="00D256DA" w:rsidRPr="00DE30A3" w:rsidRDefault="00D256DA" w:rsidP="005B6E1E">
            <w:pPr>
              <w:pStyle w:val="EPMTableHeading"/>
              <w:rPr>
                <w:bCs w:val="0"/>
              </w:rPr>
            </w:pPr>
            <w:r>
              <w:t>HR Related School Files/Records</w:t>
            </w:r>
          </w:p>
        </w:tc>
        <w:tc>
          <w:tcPr>
            <w:tcW w:w="2126" w:type="dxa"/>
            <w:tcBorders>
              <w:bottom w:val="single" w:sz="4" w:space="0" w:color="242E55"/>
            </w:tcBorders>
            <w:shd w:val="clear" w:color="auto" w:fill="242E54"/>
          </w:tcPr>
          <w:p w14:paraId="578D7F07" w14:textId="77777777" w:rsidR="00D256DA" w:rsidRPr="00DE30A3" w:rsidRDefault="00D256DA" w:rsidP="005B6E1E">
            <w:pPr>
              <w:pStyle w:val="EPMTableHeading"/>
              <w:rPr>
                <w:b w:val="0"/>
              </w:rPr>
            </w:pPr>
            <w:r>
              <w:t>Date Received</w:t>
            </w:r>
          </w:p>
        </w:tc>
      </w:tr>
      <w:tr w:rsidR="000552AE" w:rsidRPr="0099024B" w14:paraId="4A639E50" w14:textId="77777777" w:rsidTr="005B6E1E">
        <w:tc>
          <w:tcPr>
            <w:tcW w:w="7797" w:type="dxa"/>
            <w:tcBorders>
              <w:top w:val="single" w:sz="4" w:space="0" w:color="242E55"/>
              <w:bottom w:val="single" w:sz="4" w:space="0" w:color="9FAAC4"/>
              <w:right w:val="single" w:sz="4" w:space="0" w:color="9FAAC4"/>
            </w:tcBorders>
          </w:tcPr>
          <w:p w14:paraId="78E7DB13" w14:textId="26262998" w:rsidR="000552AE" w:rsidRPr="00590B89" w:rsidRDefault="000552AE" w:rsidP="000552AE">
            <w:pPr>
              <w:rPr>
                <w:rFonts w:ascii="Avenir Next LT Pro" w:hAnsi="Avenir Next LT Pro" w:cs="Arial"/>
                <w:b w:val="0"/>
                <w:bCs/>
                <w:sz w:val="21"/>
                <w:szCs w:val="21"/>
              </w:rPr>
            </w:pPr>
            <w:r w:rsidRPr="003420EF">
              <w:rPr>
                <w:rFonts w:ascii="Avenir Next LT Pro" w:hAnsi="Avenir Next LT Pro" w:cs="Arial"/>
                <w:b w:val="0"/>
                <w:bCs/>
                <w:sz w:val="21"/>
                <w:szCs w:val="21"/>
              </w:rPr>
              <w:t xml:space="preserve">Training, including any mandatory training </w:t>
            </w:r>
          </w:p>
        </w:tc>
        <w:tc>
          <w:tcPr>
            <w:tcW w:w="2126" w:type="dxa"/>
            <w:tcBorders>
              <w:top w:val="single" w:sz="4" w:space="0" w:color="242E55"/>
              <w:left w:val="single" w:sz="4" w:space="0" w:color="9FAAC4"/>
              <w:bottom w:val="single" w:sz="4" w:space="0" w:color="9FAAC4"/>
            </w:tcBorders>
          </w:tcPr>
          <w:p w14:paraId="71CC6C4C" w14:textId="77777777" w:rsidR="000552AE" w:rsidRPr="000F2D2C" w:rsidRDefault="000552AE" w:rsidP="000552AE">
            <w:pPr>
              <w:rPr>
                <w:rFonts w:ascii="Avenir Next LT Pro" w:hAnsi="Avenir Next LT Pro" w:cs="Arial"/>
                <w:b w:val="0"/>
                <w:bCs/>
                <w:sz w:val="21"/>
                <w:szCs w:val="21"/>
              </w:rPr>
            </w:pPr>
          </w:p>
        </w:tc>
      </w:tr>
      <w:tr w:rsidR="000552AE" w:rsidRPr="0099024B" w14:paraId="43BA0080" w14:textId="77777777" w:rsidTr="005B6E1E">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FFFFFF" w:themeFill="background1"/>
          </w:tcPr>
          <w:p w14:paraId="6ABD42E5" w14:textId="21166F35" w:rsidR="000552AE" w:rsidRPr="00590B89" w:rsidRDefault="000552AE" w:rsidP="000552AE">
            <w:pPr>
              <w:rPr>
                <w:rFonts w:ascii="Avenir Next LT Pro" w:hAnsi="Avenir Next LT Pro" w:cs="Arial"/>
                <w:b w:val="0"/>
                <w:bCs/>
                <w:sz w:val="21"/>
                <w:szCs w:val="21"/>
              </w:rPr>
            </w:pPr>
            <w:r w:rsidRPr="003420EF">
              <w:rPr>
                <w:rFonts w:ascii="Avenir Next LT Pro" w:hAnsi="Avenir Next LT Pro" w:cs="Arial"/>
                <w:b w:val="0"/>
                <w:bCs/>
                <w:sz w:val="21"/>
                <w:szCs w:val="21"/>
              </w:rPr>
              <w:t>Accident Forms and associated documentation (</w:t>
            </w:r>
            <w:proofErr w:type="gramStart"/>
            <w:r w:rsidRPr="003420EF">
              <w:rPr>
                <w:rFonts w:ascii="Avenir Next LT Pro" w:hAnsi="Avenir Next LT Pro" w:cs="Arial"/>
                <w:b w:val="0"/>
                <w:bCs/>
                <w:sz w:val="21"/>
                <w:szCs w:val="21"/>
              </w:rPr>
              <w:t>6 year</w:t>
            </w:r>
            <w:proofErr w:type="gramEnd"/>
            <w:r w:rsidRPr="003420EF">
              <w:rPr>
                <w:rFonts w:ascii="Avenir Next LT Pro" w:hAnsi="Avenir Next LT Pro" w:cs="Arial"/>
                <w:b w:val="0"/>
                <w:bCs/>
                <w:sz w:val="21"/>
                <w:szCs w:val="21"/>
              </w:rPr>
              <w:t xml:space="preserve"> period) </w:t>
            </w:r>
          </w:p>
        </w:tc>
        <w:tc>
          <w:tcPr>
            <w:tcW w:w="2126" w:type="dxa"/>
            <w:tcBorders>
              <w:top w:val="single" w:sz="4" w:space="0" w:color="9FAAC4"/>
              <w:left w:val="single" w:sz="4" w:space="0" w:color="9FAAC4"/>
              <w:bottom w:val="single" w:sz="4" w:space="0" w:color="9FAAC4"/>
            </w:tcBorders>
            <w:shd w:val="clear" w:color="auto" w:fill="FFFFFF" w:themeFill="background1"/>
          </w:tcPr>
          <w:p w14:paraId="79BC313E" w14:textId="77777777" w:rsidR="000552AE" w:rsidRPr="000F2D2C" w:rsidRDefault="000552AE" w:rsidP="000552AE">
            <w:pPr>
              <w:rPr>
                <w:rFonts w:ascii="Avenir Next LT Pro" w:hAnsi="Avenir Next LT Pro" w:cs="Arial"/>
                <w:b w:val="0"/>
                <w:bCs/>
                <w:sz w:val="21"/>
                <w:szCs w:val="21"/>
              </w:rPr>
            </w:pPr>
          </w:p>
        </w:tc>
      </w:tr>
      <w:tr w:rsidR="000552AE" w:rsidRPr="0099024B" w14:paraId="41844D44" w14:textId="77777777" w:rsidTr="005B6E1E">
        <w:tc>
          <w:tcPr>
            <w:tcW w:w="7797" w:type="dxa"/>
            <w:tcBorders>
              <w:top w:val="single" w:sz="4" w:space="0" w:color="9FAAC4"/>
              <w:bottom w:val="single" w:sz="4" w:space="0" w:color="9FAAC4"/>
              <w:right w:val="single" w:sz="4" w:space="0" w:color="9FAAC4"/>
            </w:tcBorders>
          </w:tcPr>
          <w:p w14:paraId="51B1F468" w14:textId="74B50690" w:rsidR="000552AE" w:rsidRPr="00590B89" w:rsidRDefault="000552AE" w:rsidP="000552AE">
            <w:pPr>
              <w:rPr>
                <w:rFonts w:ascii="Avenir Next LT Pro" w:hAnsi="Avenir Next LT Pro" w:cs="Arial"/>
                <w:b w:val="0"/>
                <w:bCs/>
                <w:sz w:val="21"/>
                <w:szCs w:val="21"/>
              </w:rPr>
            </w:pPr>
            <w:r w:rsidRPr="003420EF">
              <w:rPr>
                <w:rFonts w:ascii="Avenir Next LT Pro" w:hAnsi="Avenir Next LT Pro" w:cs="Arial"/>
                <w:b w:val="0"/>
                <w:bCs/>
                <w:sz w:val="21"/>
                <w:szCs w:val="21"/>
              </w:rPr>
              <w:t xml:space="preserve">Single central record for employees due to transfer </w:t>
            </w:r>
          </w:p>
        </w:tc>
        <w:tc>
          <w:tcPr>
            <w:tcW w:w="2126" w:type="dxa"/>
            <w:tcBorders>
              <w:top w:val="single" w:sz="4" w:space="0" w:color="9FAAC4"/>
              <w:left w:val="single" w:sz="4" w:space="0" w:color="9FAAC4"/>
              <w:bottom w:val="single" w:sz="4" w:space="0" w:color="9FAAC4"/>
            </w:tcBorders>
          </w:tcPr>
          <w:p w14:paraId="32FA25AE" w14:textId="77777777" w:rsidR="000552AE" w:rsidRPr="000F2D2C" w:rsidRDefault="000552AE" w:rsidP="000552AE">
            <w:pPr>
              <w:rPr>
                <w:rFonts w:ascii="Avenir Next LT Pro" w:hAnsi="Avenir Next LT Pro" w:cs="Arial"/>
                <w:b w:val="0"/>
                <w:bCs/>
                <w:sz w:val="21"/>
                <w:szCs w:val="21"/>
              </w:rPr>
            </w:pPr>
          </w:p>
        </w:tc>
      </w:tr>
      <w:tr w:rsidR="00CE03BC" w:rsidRPr="0099024B" w14:paraId="452E0C6F" w14:textId="77777777" w:rsidTr="005B6E1E">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auto"/>
          </w:tcPr>
          <w:p w14:paraId="0B95075E" w14:textId="7E8E9867" w:rsidR="00CE03BC" w:rsidRPr="00590B89" w:rsidRDefault="00CE03BC" w:rsidP="00CE03BC">
            <w:pPr>
              <w:rPr>
                <w:rFonts w:ascii="Avenir Next LT Pro" w:hAnsi="Avenir Next LT Pro" w:cs="Arial"/>
                <w:b w:val="0"/>
                <w:bCs/>
                <w:sz w:val="21"/>
                <w:szCs w:val="21"/>
              </w:rPr>
            </w:pPr>
            <w:r w:rsidRPr="003420EF">
              <w:rPr>
                <w:rFonts w:ascii="Avenir Next LT Pro" w:hAnsi="Avenir Next LT Pro" w:cs="Arial"/>
                <w:b w:val="0"/>
                <w:bCs/>
                <w:sz w:val="21"/>
                <w:szCs w:val="21"/>
              </w:rPr>
              <w:t xml:space="preserve">Directed time budget </w:t>
            </w:r>
          </w:p>
        </w:tc>
        <w:tc>
          <w:tcPr>
            <w:tcW w:w="2126" w:type="dxa"/>
            <w:tcBorders>
              <w:top w:val="single" w:sz="4" w:space="0" w:color="9FAAC4"/>
              <w:left w:val="single" w:sz="4" w:space="0" w:color="9FAAC4"/>
              <w:bottom w:val="single" w:sz="4" w:space="0" w:color="9FAAC4"/>
            </w:tcBorders>
            <w:shd w:val="clear" w:color="auto" w:fill="auto"/>
          </w:tcPr>
          <w:p w14:paraId="6F485692" w14:textId="77777777" w:rsidR="00CE03BC" w:rsidRPr="000F2D2C" w:rsidRDefault="00CE03BC" w:rsidP="00CE03BC">
            <w:pPr>
              <w:rPr>
                <w:rFonts w:ascii="Avenir Next LT Pro" w:hAnsi="Avenir Next LT Pro" w:cs="Arial"/>
                <w:b w:val="0"/>
                <w:bCs/>
                <w:sz w:val="21"/>
                <w:szCs w:val="21"/>
              </w:rPr>
            </w:pPr>
          </w:p>
        </w:tc>
      </w:tr>
      <w:tr w:rsidR="00CE03BC" w:rsidRPr="0099024B" w14:paraId="24C3A4EB" w14:textId="77777777" w:rsidTr="005B6E1E">
        <w:tc>
          <w:tcPr>
            <w:tcW w:w="7797" w:type="dxa"/>
            <w:tcBorders>
              <w:top w:val="single" w:sz="4" w:space="0" w:color="9FAAC4"/>
              <w:bottom w:val="single" w:sz="4" w:space="0" w:color="9FAAC4"/>
              <w:right w:val="single" w:sz="4" w:space="0" w:color="9FAAC4"/>
            </w:tcBorders>
          </w:tcPr>
          <w:p w14:paraId="129FDFA9" w14:textId="3F79B4CF" w:rsidR="00CE03BC" w:rsidRPr="00590B89" w:rsidRDefault="00CE03BC" w:rsidP="00CE03BC">
            <w:pPr>
              <w:rPr>
                <w:rFonts w:ascii="Avenir Next LT Pro" w:hAnsi="Avenir Next LT Pro" w:cs="Arial"/>
                <w:b w:val="0"/>
                <w:bCs/>
                <w:sz w:val="21"/>
                <w:szCs w:val="21"/>
              </w:rPr>
            </w:pPr>
            <w:r w:rsidRPr="003420EF">
              <w:rPr>
                <w:rFonts w:ascii="Avenir Next LT Pro" w:hAnsi="Avenir Next LT Pro" w:cs="Arial"/>
                <w:b w:val="0"/>
                <w:bCs/>
                <w:sz w:val="21"/>
                <w:szCs w:val="21"/>
              </w:rPr>
              <w:t>Brief details of current and historic labour relations and any pending negotiations (including any agreed pay increases)</w:t>
            </w:r>
          </w:p>
        </w:tc>
        <w:tc>
          <w:tcPr>
            <w:tcW w:w="2126" w:type="dxa"/>
            <w:tcBorders>
              <w:top w:val="single" w:sz="4" w:space="0" w:color="9FAAC4"/>
              <w:left w:val="single" w:sz="4" w:space="0" w:color="9FAAC4"/>
              <w:bottom w:val="single" w:sz="4" w:space="0" w:color="9FAAC4"/>
            </w:tcBorders>
          </w:tcPr>
          <w:p w14:paraId="1A540800" w14:textId="77777777" w:rsidR="00CE03BC" w:rsidRPr="000F2D2C" w:rsidRDefault="00CE03BC" w:rsidP="00CE03BC">
            <w:pPr>
              <w:rPr>
                <w:rFonts w:ascii="Avenir Next LT Pro" w:hAnsi="Avenir Next LT Pro" w:cs="Arial"/>
                <w:b w:val="0"/>
                <w:bCs/>
                <w:sz w:val="21"/>
                <w:szCs w:val="21"/>
              </w:rPr>
            </w:pPr>
          </w:p>
        </w:tc>
      </w:tr>
      <w:tr w:rsidR="00CE03BC" w:rsidRPr="0099024B" w14:paraId="5C940E88" w14:textId="77777777" w:rsidTr="005B6E1E">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auto"/>
          </w:tcPr>
          <w:p w14:paraId="009A98B4" w14:textId="3B1A39BF" w:rsidR="00CE03BC" w:rsidRPr="00590B89" w:rsidRDefault="00CE03BC" w:rsidP="00CE03BC">
            <w:pPr>
              <w:rPr>
                <w:rFonts w:ascii="Avenir Next LT Pro" w:hAnsi="Avenir Next LT Pro" w:cs="Arial"/>
                <w:b w:val="0"/>
                <w:bCs/>
                <w:sz w:val="21"/>
                <w:szCs w:val="21"/>
              </w:rPr>
            </w:pPr>
            <w:r w:rsidRPr="003420EF">
              <w:rPr>
                <w:rFonts w:ascii="Avenir Next LT Pro" w:hAnsi="Avenir Next LT Pro" w:cs="Arial"/>
                <w:b w:val="0"/>
                <w:bCs/>
                <w:sz w:val="21"/>
                <w:szCs w:val="21"/>
              </w:rPr>
              <w:t xml:space="preserve">Risk assessments for current and previous 3 years </w:t>
            </w:r>
          </w:p>
        </w:tc>
        <w:tc>
          <w:tcPr>
            <w:tcW w:w="2126" w:type="dxa"/>
            <w:tcBorders>
              <w:top w:val="single" w:sz="4" w:space="0" w:color="9FAAC4"/>
              <w:left w:val="single" w:sz="4" w:space="0" w:color="9FAAC4"/>
              <w:bottom w:val="single" w:sz="4" w:space="0" w:color="9FAAC4"/>
            </w:tcBorders>
            <w:shd w:val="clear" w:color="auto" w:fill="auto"/>
          </w:tcPr>
          <w:p w14:paraId="45E0CFE3" w14:textId="77777777" w:rsidR="00CE03BC" w:rsidRPr="000F2D2C" w:rsidRDefault="00CE03BC" w:rsidP="00CE03BC">
            <w:pPr>
              <w:rPr>
                <w:rFonts w:ascii="Avenir Next LT Pro" w:hAnsi="Avenir Next LT Pro" w:cs="Arial"/>
                <w:b w:val="0"/>
                <w:bCs/>
                <w:sz w:val="21"/>
                <w:szCs w:val="21"/>
              </w:rPr>
            </w:pPr>
          </w:p>
        </w:tc>
      </w:tr>
      <w:tr w:rsidR="00D256DA" w:rsidRPr="0099024B" w14:paraId="2BEE33E5" w14:textId="77777777" w:rsidTr="005B6E1E">
        <w:tc>
          <w:tcPr>
            <w:tcW w:w="7797" w:type="dxa"/>
            <w:tcBorders>
              <w:top w:val="single" w:sz="4" w:space="0" w:color="9FAAC4"/>
              <w:bottom w:val="single" w:sz="4" w:space="0" w:color="9FAAC4"/>
              <w:right w:val="single" w:sz="4" w:space="0" w:color="9FAAC4"/>
            </w:tcBorders>
          </w:tcPr>
          <w:p w14:paraId="36FE5F42" w14:textId="7F6F62F0" w:rsidR="00D256DA" w:rsidRPr="00590B89" w:rsidRDefault="00381505" w:rsidP="005B6E1E">
            <w:pPr>
              <w:rPr>
                <w:rFonts w:ascii="Avenir Next LT Pro" w:hAnsi="Avenir Next LT Pro" w:cs="Arial"/>
                <w:b w:val="0"/>
                <w:bCs/>
                <w:sz w:val="21"/>
                <w:szCs w:val="21"/>
              </w:rPr>
            </w:pPr>
            <w:r w:rsidRPr="00381505">
              <w:rPr>
                <w:rFonts w:ascii="Avenir Next LT Pro" w:hAnsi="Avenir Next LT Pro" w:cs="Arial"/>
                <w:b w:val="0"/>
                <w:bCs/>
                <w:sz w:val="21"/>
                <w:szCs w:val="21"/>
              </w:rPr>
              <w:t xml:space="preserve">Details of any enquiry, correspondence or contact between the Governing Body and the Equality and Human Rights Commission, the </w:t>
            </w:r>
            <w:proofErr w:type="gramStart"/>
            <w:r w:rsidRPr="00381505">
              <w:rPr>
                <w:rFonts w:ascii="Avenir Next LT Pro" w:hAnsi="Avenir Next LT Pro" w:cs="Arial"/>
                <w:b w:val="0"/>
                <w:bCs/>
                <w:sz w:val="21"/>
                <w:szCs w:val="21"/>
              </w:rPr>
              <w:t>Health</w:t>
            </w:r>
            <w:proofErr w:type="gramEnd"/>
            <w:r w:rsidRPr="00381505">
              <w:rPr>
                <w:rFonts w:ascii="Avenir Next LT Pro" w:hAnsi="Avenir Next LT Pro" w:cs="Arial"/>
                <w:b w:val="0"/>
                <w:bCs/>
                <w:sz w:val="21"/>
                <w:szCs w:val="21"/>
              </w:rPr>
              <w:t xml:space="preserve"> and Safety Executive and HMRC concerning employees</w:t>
            </w:r>
          </w:p>
        </w:tc>
        <w:tc>
          <w:tcPr>
            <w:tcW w:w="2126" w:type="dxa"/>
            <w:tcBorders>
              <w:top w:val="single" w:sz="4" w:space="0" w:color="9FAAC4"/>
              <w:left w:val="single" w:sz="4" w:space="0" w:color="9FAAC4"/>
              <w:bottom w:val="single" w:sz="4" w:space="0" w:color="9FAAC4"/>
            </w:tcBorders>
          </w:tcPr>
          <w:p w14:paraId="57993760" w14:textId="77777777" w:rsidR="00D256DA" w:rsidRPr="000F2D2C" w:rsidRDefault="00D256DA" w:rsidP="005B6E1E">
            <w:pPr>
              <w:rPr>
                <w:rFonts w:ascii="Avenir Next LT Pro" w:hAnsi="Avenir Next LT Pro" w:cs="Arial"/>
                <w:b w:val="0"/>
                <w:bCs/>
                <w:sz w:val="21"/>
                <w:szCs w:val="21"/>
              </w:rPr>
            </w:pPr>
          </w:p>
        </w:tc>
      </w:tr>
      <w:tr w:rsidR="00D256DA" w:rsidRPr="0099024B" w14:paraId="24FC4FFC" w14:textId="77777777" w:rsidTr="005B6E1E">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auto"/>
          </w:tcPr>
          <w:p w14:paraId="6C499FBF" w14:textId="6284A43F" w:rsidR="00D256DA" w:rsidRPr="00590B89" w:rsidRDefault="00C569E5" w:rsidP="005B6E1E">
            <w:pPr>
              <w:rPr>
                <w:rFonts w:ascii="Avenir Next LT Pro" w:hAnsi="Avenir Next LT Pro" w:cs="Arial"/>
                <w:b w:val="0"/>
                <w:bCs/>
                <w:sz w:val="21"/>
                <w:szCs w:val="21"/>
              </w:rPr>
            </w:pPr>
            <w:r w:rsidRPr="00C569E5">
              <w:rPr>
                <w:rFonts w:ascii="Avenir Next LT Pro" w:hAnsi="Avenir Next LT Pro" w:cs="Arial"/>
                <w:b w:val="0"/>
                <w:bCs/>
                <w:sz w:val="21"/>
                <w:szCs w:val="21"/>
              </w:rPr>
              <w:t>Details of any health and safety complaints, recommendations or claims within the last 5 years</w:t>
            </w:r>
          </w:p>
        </w:tc>
        <w:tc>
          <w:tcPr>
            <w:tcW w:w="2126" w:type="dxa"/>
            <w:tcBorders>
              <w:top w:val="single" w:sz="4" w:space="0" w:color="9FAAC4"/>
              <w:left w:val="single" w:sz="4" w:space="0" w:color="9FAAC4"/>
              <w:bottom w:val="single" w:sz="4" w:space="0" w:color="9FAAC4"/>
            </w:tcBorders>
            <w:shd w:val="clear" w:color="auto" w:fill="auto"/>
          </w:tcPr>
          <w:p w14:paraId="5F824E22" w14:textId="77777777" w:rsidR="00D256DA" w:rsidRPr="000F2D2C" w:rsidRDefault="00D256DA" w:rsidP="005B6E1E">
            <w:pPr>
              <w:rPr>
                <w:rFonts w:ascii="Avenir Next LT Pro" w:hAnsi="Avenir Next LT Pro" w:cs="Arial"/>
                <w:b w:val="0"/>
                <w:bCs/>
                <w:sz w:val="21"/>
                <w:szCs w:val="21"/>
              </w:rPr>
            </w:pPr>
          </w:p>
        </w:tc>
      </w:tr>
      <w:tr w:rsidR="00D256DA" w:rsidRPr="0099024B" w14:paraId="4AE481B8" w14:textId="77777777" w:rsidTr="005B6E1E">
        <w:tc>
          <w:tcPr>
            <w:tcW w:w="7797" w:type="dxa"/>
            <w:tcBorders>
              <w:top w:val="single" w:sz="4" w:space="0" w:color="9FAAC4"/>
              <w:bottom w:val="single" w:sz="4" w:space="0" w:color="9FAAC4"/>
              <w:right w:val="single" w:sz="4" w:space="0" w:color="9FAAC4"/>
            </w:tcBorders>
          </w:tcPr>
          <w:p w14:paraId="7E954405" w14:textId="45F6466E" w:rsidR="00D256DA" w:rsidRPr="008F138F" w:rsidRDefault="00201B6A" w:rsidP="005B6E1E">
            <w:pPr>
              <w:rPr>
                <w:rFonts w:ascii="Avenir Next LT Pro" w:hAnsi="Avenir Next LT Pro"/>
                <w:b w:val="0"/>
                <w:bCs/>
                <w:sz w:val="21"/>
                <w:szCs w:val="21"/>
              </w:rPr>
            </w:pPr>
            <w:r w:rsidRPr="00201B6A">
              <w:rPr>
                <w:rFonts w:ascii="Avenir Next LT Pro" w:hAnsi="Avenir Next LT Pro"/>
                <w:b w:val="0"/>
                <w:bCs/>
                <w:sz w:val="21"/>
                <w:szCs w:val="21"/>
              </w:rPr>
              <w:t xml:space="preserve">Details of all consultancy agreements or self-employed personnel who are or may </w:t>
            </w:r>
            <w:proofErr w:type="gramStart"/>
            <w:r w:rsidRPr="00201B6A">
              <w:rPr>
                <w:rFonts w:ascii="Avenir Next LT Pro" w:hAnsi="Avenir Next LT Pro"/>
                <w:b w:val="0"/>
                <w:bCs/>
                <w:sz w:val="21"/>
                <w:szCs w:val="21"/>
              </w:rPr>
              <w:t>actually be</w:t>
            </w:r>
            <w:proofErr w:type="gramEnd"/>
            <w:r w:rsidRPr="00201B6A">
              <w:rPr>
                <w:rFonts w:ascii="Avenir Next LT Pro" w:hAnsi="Avenir Next LT Pro"/>
                <w:b w:val="0"/>
                <w:bCs/>
                <w:sz w:val="21"/>
                <w:szCs w:val="21"/>
              </w:rPr>
              <w:t xml:space="preserve"> employees, including casual staff</w:t>
            </w:r>
          </w:p>
        </w:tc>
        <w:tc>
          <w:tcPr>
            <w:tcW w:w="2126" w:type="dxa"/>
            <w:tcBorders>
              <w:top w:val="single" w:sz="4" w:space="0" w:color="9FAAC4"/>
              <w:left w:val="single" w:sz="4" w:space="0" w:color="9FAAC4"/>
              <w:bottom w:val="single" w:sz="4" w:space="0" w:color="9FAAC4"/>
            </w:tcBorders>
          </w:tcPr>
          <w:p w14:paraId="3F5F6CFA" w14:textId="77777777" w:rsidR="00D256DA" w:rsidRPr="000F2D2C" w:rsidRDefault="00D256DA" w:rsidP="005B6E1E">
            <w:pPr>
              <w:rPr>
                <w:rFonts w:ascii="Avenir Next LT Pro" w:hAnsi="Avenir Next LT Pro" w:cs="Arial"/>
                <w:b w:val="0"/>
                <w:bCs/>
                <w:sz w:val="21"/>
                <w:szCs w:val="21"/>
              </w:rPr>
            </w:pPr>
          </w:p>
        </w:tc>
      </w:tr>
      <w:tr w:rsidR="00D256DA" w:rsidRPr="0099024B" w14:paraId="544D454C" w14:textId="77777777" w:rsidTr="005B6E1E">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auto"/>
          </w:tcPr>
          <w:p w14:paraId="3B5153F3" w14:textId="6A599443" w:rsidR="00D256DA" w:rsidRPr="008F138F" w:rsidRDefault="00E22736" w:rsidP="005B6E1E">
            <w:pPr>
              <w:rPr>
                <w:rFonts w:ascii="Avenir Next LT Pro" w:hAnsi="Avenir Next LT Pro"/>
                <w:b w:val="0"/>
                <w:bCs/>
                <w:sz w:val="21"/>
                <w:szCs w:val="21"/>
              </w:rPr>
            </w:pPr>
            <w:r w:rsidRPr="00E22736">
              <w:rPr>
                <w:rFonts w:ascii="Avenir Next LT Pro" w:hAnsi="Avenir Next LT Pro"/>
                <w:b w:val="0"/>
                <w:bCs/>
                <w:sz w:val="21"/>
                <w:szCs w:val="21"/>
              </w:rPr>
              <w:t>Details of all individuals in the undertaking working on training, work experience or similar schemes</w:t>
            </w:r>
          </w:p>
        </w:tc>
        <w:tc>
          <w:tcPr>
            <w:tcW w:w="2126" w:type="dxa"/>
            <w:tcBorders>
              <w:top w:val="single" w:sz="4" w:space="0" w:color="9FAAC4"/>
              <w:left w:val="single" w:sz="4" w:space="0" w:color="9FAAC4"/>
              <w:bottom w:val="single" w:sz="4" w:space="0" w:color="9FAAC4"/>
            </w:tcBorders>
            <w:shd w:val="clear" w:color="auto" w:fill="auto"/>
          </w:tcPr>
          <w:p w14:paraId="3A0E5E87" w14:textId="77777777" w:rsidR="00D256DA" w:rsidRPr="000F2D2C" w:rsidRDefault="00D256DA" w:rsidP="005B6E1E">
            <w:pPr>
              <w:rPr>
                <w:rFonts w:ascii="Avenir Next LT Pro" w:hAnsi="Avenir Next LT Pro" w:cs="Arial"/>
                <w:b w:val="0"/>
                <w:bCs/>
                <w:sz w:val="21"/>
                <w:szCs w:val="21"/>
              </w:rPr>
            </w:pPr>
          </w:p>
        </w:tc>
      </w:tr>
      <w:tr w:rsidR="00D256DA" w:rsidRPr="0099024B" w14:paraId="3C657E33" w14:textId="77777777" w:rsidTr="005B6E1E">
        <w:tc>
          <w:tcPr>
            <w:tcW w:w="7797" w:type="dxa"/>
            <w:tcBorders>
              <w:top w:val="single" w:sz="4" w:space="0" w:color="9FAAC4"/>
              <w:bottom w:val="single" w:sz="4" w:space="0" w:color="9FAAC4"/>
              <w:right w:val="single" w:sz="4" w:space="0" w:color="9FAAC4"/>
            </w:tcBorders>
          </w:tcPr>
          <w:p w14:paraId="33684FCC" w14:textId="58E0BCCD" w:rsidR="00D256DA" w:rsidRPr="008F138F" w:rsidRDefault="005857CF" w:rsidP="005B6E1E">
            <w:pPr>
              <w:rPr>
                <w:rFonts w:ascii="Avenir Next LT Pro" w:hAnsi="Avenir Next LT Pro"/>
                <w:b w:val="0"/>
                <w:bCs/>
                <w:sz w:val="21"/>
                <w:szCs w:val="21"/>
              </w:rPr>
            </w:pPr>
            <w:r w:rsidRPr="005857CF">
              <w:rPr>
                <w:rFonts w:ascii="Avenir Next LT Pro" w:hAnsi="Avenir Next LT Pro"/>
                <w:b w:val="0"/>
                <w:bCs/>
                <w:sz w:val="21"/>
                <w:szCs w:val="21"/>
              </w:rPr>
              <w:t>Details of any litigation threatened or pending against the Governing Body or employed individuals</w:t>
            </w:r>
          </w:p>
        </w:tc>
        <w:tc>
          <w:tcPr>
            <w:tcW w:w="2126" w:type="dxa"/>
            <w:tcBorders>
              <w:top w:val="single" w:sz="4" w:space="0" w:color="9FAAC4"/>
              <w:left w:val="single" w:sz="4" w:space="0" w:color="9FAAC4"/>
              <w:bottom w:val="single" w:sz="4" w:space="0" w:color="9FAAC4"/>
            </w:tcBorders>
          </w:tcPr>
          <w:p w14:paraId="43CA211F" w14:textId="77777777" w:rsidR="00D256DA" w:rsidRPr="000F2D2C" w:rsidRDefault="00D256DA" w:rsidP="005B6E1E">
            <w:pPr>
              <w:rPr>
                <w:rFonts w:ascii="Avenir Next LT Pro" w:hAnsi="Avenir Next LT Pro" w:cs="Arial"/>
                <w:b w:val="0"/>
                <w:bCs/>
                <w:sz w:val="21"/>
                <w:szCs w:val="21"/>
              </w:rPr>
            </w:pPr>
          </w:p>
        </w:tc>
      </w:tr>
      <w:tr w:rsidR="00D256DA" w:rsidRPr="0099024B" w14:paraId="2AE3BDC9" w14:textId="77777777" w:rsidTr="005B6E1E">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auto"/>
          </w:tcPr>
          <w:p w14:paraId="1CA73F80" w14:textId="6B85D357" w:rsidR="00D256DA" w:rsidRPr="008F138F" w:rsidRDefault="00B11FFD" w:rsidP="005B6E1E">
            <w:pPr>
              <w:rPr>
                <w:rFonts w:ascii="Avenir Next LT Pro" w:hAnsi="Avenir Next LT Pro"/>
                <w:b w:val="0"/>
                <w:bCs/>
                <w:sz w:val="21"/>
                <w:szCs w:val="21"/>
              </w:rPr>
            </w:pPr>
            <w:r w:rsidRPr="00B11FFD">
              <w:rPr>
                <w:rFonts w:ascii="Avenir Next LT Pro" w:hAnsi="Avenir Next LT Pro"/>
                <w:b w:val="0"/>
                <w:bCs/>
                <w:sz w:val="21"/>
                <w:szCs w:val="21"/>
              </w:rPr>
              <w:t>Details of employee and employer contributions over the last 3 years and details of when contributions are paid</w:t>
            </w:r>
          </w:p>
        </w:tc>
        <w:tc>
          <w:tcPr>
            <w:tcW w:w="2126" w:type="dxa"/>
            <w:tcBorders>
              <w:top w:val="single" w:sz="4" w:space="0" w:color="9FAAC4"/>
              <w:left w:val="single" w:sz="4" w:space="0" w:color="9FAAC4"/>
              <w:bottom w:val="single" w:sz="4" w:space="0" w:color="9FAAC4"/>
            </w:tcBorders>
            <w:shd w:val="clear" w:color="auto" w:fill="auto"/>
          </w:tcPr>
          <w:p w14:paraId="573BC43A" w14:textId="77777777" w:rsidR="00D256DA" w:rsidRPr="000F2D2C" w:rsidRDefault="00D256DA" w:rsidP="005B6E1E">
            <w:pPr>
              <w:rPr>
                <w:rFonts w:ascii="Avenir Next LT Pro" w:hAnsi="Avenir Next LT Pro" w:cs="Arial"/>
                <w:b w:val="0"/>
                <w:bCs/>
                <w:sz w:val="21"/>
                <w:szCs w:val="21"/>
              </w:rPr>
            </w:pPr>
          </w:p>
        </w:tc>
      </w:tr>
      <w:tr w:rsidR="00D256DA" w:rsidRPr="0099024B" w14:paraId="2E584B43" w14:textId="77777777" w:rsidTr="005B6E1E">
        <w:tc>
          <w:tcPr>
            <w:tcW w:w="7797" w:type="dxa"/>
            <w:tcBorders>
              <w:top w:val="single" w:sz="4" w:space="0" w:color="9FAAC4"/>
              <w:bottom w:val="single" w:sz="4" w:space="0" w:color="9FAAC4"/>
              <w:right w:val="single" w:sz="4" w:space="0" w:color="9FAAC4"/>
            </w:tcBorders>
          </w:tcPr>
          <w:p w14:paraId="7DF4A441" w14:textId="6653DD5D" w:rsidR="00D256DA" w:rsidRPr="008F138F" w:rsidRDefault="001A2D28" w:rsidP="005B6E1E">
            <w:pPr>
              <w:rPr>
                <w:rFonts w:ascii="Avenir Next LT Pro" w:hAnsi="Avenir Next LT Pro"/>
                <w:b w:val="0"/>
                <w:bCs/>
                <w:sz w:val="21"/>
                <w:szCs w:val="21"/>
              </w:rPr>
            </w:pPr>
            <w:r w:rsidRPr="001A2D28">
              <w:rPr>
                <w:rFonts w:ascii="Avenir Next LT Pro" w:hAnsi="Avenir Next LT Pro"/>
                <w:b w:val="0"/>
                <w:bCs/>
                <w:sz w:val="21"/>
                <w:szCs w:val="21"/>
              </w:rPr>
              <w:t>Details of any court judgment or current employment tribunal award in respect of any employee dispute within the last 2 years</w:t>
            </w:r>
          </w:p>
        </w:tc>
        <w:tc>
          <w:tcPr>
            <w:tcW w:w="2126" w:type="dxa"/>
            <w:tcBorders>
              <w:top w:val="single" w:sz="4" w:space="0" w:color="9FAAC4"/>
              <w:left w:val="single" w:sz="4" w:space="0" w:color="9FAAC4"/>
              <w:bottom w:val="single" w:sz="4" w:space="0" w:color="9FAAC4"/>
            </w:tcBorders>
          </w:tcPr>
          <w:p w14:paraId="2D4E4275" w14:textId="77777777" w:rsidR="00D256DA" w:rsidRPr="000F2D2C" w:rsidRDefault="00D256DA" w:rsidP="005B6E1E">
            <w:pPr>
              <w:rPr>
                <w:rFonts w:ascii="Avenir Next LT Pro" w:hAnsi="Avenir Next LT Pro" w:cs="Arial"/>
                <w:b w:val="0"/>
                <w:bCs/>
                <w:sz w:val="21"/>
                <w:szCs w:val="21"/>
              </w:rPr>
            </w:pPr>
          </w:p>
        </w:tc>
      </w:tr>
      <w:tr w:rsidR="00D256DA" w:rsidRPr="0099024B" w14:paraId="281E4B05" w14:textId="77777777" w:rsidTr="005B6E1E">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18" w:space="0" w:color="242E55"/>
              <w:right w:val="single" w:sz="4" w:space="0" w:color="9FAAC4"/>
            </w:tcBorders>
            <w:shd w:val="clear" w:color="auto" w:fill="auto"/>
          </w:tcPr>
          <w:p w14:paraId="3D114411" w14:textId="4B9B0A92" w:rsidR="00D256DA" w:rsidRPr="008F138F" w:rsidRDefault="003420EF" w:rsidP="005B6E1E">
            <w:pPr>
              <w:rPr>
                <w:rFonts w:ascii="Avenir Next LT Pro" w:hAnsi="Avenir Next LT Pro"/>
                <w:b w:val="0"/>
                <w:bCs/>
                <w:sz w:val="21"/>
                <w:szCs w:val="21"/>
              </w:rPr>
            </w:pPr>
            <w:r w:rsidRPr="003420EF">
              <w:rPr>
                <w:rFonts w:ascii="Avenir Next LT Pro" w:hAnsi="Avenir Next LT Pro"/>
                <w:b w:val="0"/>
                <w:bCs/>
                <w:sz w:val="21"/>
                <w:szCs w:val="21"/>
              </w:rPr>
              <w:t xml:space="preserve">Copies of any individual, collective and workforce agreements </w:t>
            </w:r>
            <w:proofErr w:type="gramStart"/>
            <w:r w:rsidRPr="003420EF">
              <w:rPr>
                <w:rFonts w:ascii="Avenir Next LT Pro" w:hAnsi="Avenir Next LT Pro"/>
                <w:b w:val="0"/>
                <w:bCs/>
                <w:sz w:val="21"/>
                <w:szCs w:val="21"/>
              </w:rPr>
              <w:t>entered into</w:t>
            </w:r>
            <w:proofErr w:type="gramEnd"/>
            <w:r w:rsidRPr="003420EF">
              <w:rPr>
                <w:rFonts w:ascii="Avenir Next LT Pro" w:hAnsi="Avenir Next LT Pro"/>
                <w:b w:val="0"/>
                <w:bCs/>
                <w:sz w:val="21"/>
                <w:szCs w:val="21"/>
              </w:rPr>
              <w:t xml:space="preserve"> pursuant to the Working Time Regulations</w:t>
            </w:r>
          </w:p>
        </w:tc>
        <w:tc>
          <w:tcPr>
            <w:tcW w:w="2126" w:type="dxa"/>
            <w:tcBorders>
              <w:top w:val="single" w:sz="4" w:space="0" w:color="9FAAC4"/>
              <w:left w:val="single" w:sz="4" w:space="0" w:color="9FAAC4"/>
              <w:bottom w:val="single" w:sz="18" w:space="0" w:color="242E55"/>
            </w:tcBorders>
            <w:shd w:val="clear" w:color="auto" w:fill="auto"/>
          </w:tcPr>
          <w:p w14:paraId="5A6D2481" w14:textId="77777777" w:rsidR="00D256DA" w:rsidRPr="000F2D2C" w:rsidRDefault="00D256DA" w:rsidP="005B6E1E">
            <w:pPr>
              <w:rPr>
                <w:rFonts w:ascii="Avenir Next LT Pro" w:hAnsi="Avenir Next LT Pro" w:cs="Arial"/>
                <w:b w:val="0"/>
                <w:bCs/>
                <w:sz w:val="21"/>
                <w:szCs w:val="21"/>
              </w:rPr>
            </w:pPr>
          </w:p>
        </w:tc>
      </w:tr>
    </w:tbl>
    <w:p w14:paraId="07BFB0E2" w14:textId="5FF17FED" w:rsidR="00D256DA" w:rsidRDefault="00D256DA" w:rsidP="00763D8B">
      <w:pPr>
        <w:rPr>
          <w:rFonts w:cs="Arial"/>
          <w:sz w:val="21"/>
          <w:szCs w:val="20"/>
        </w:rPr>
      </w:pPr>
    </w:p>
    <w:p w14:paraId="4EC59F48" w14:textId="79E61BCA" w:rsidR="003420EF" w:rsidRDefault="003420EF">
      <w:pPr>
        <w:rPr>
          <w:rFonts w:cs="Arial"/>
          <w:sz w:val="21"/>
          <w:szCs w:val="20"/>
        </w:rPr>
      </w:pPr>
      <w:r>
        <w:rPr>
          <w:rFonts w:cs="Arial"/>
          <w:sz w:val="21"/>
          <w:szCs w:val="20"/>
        </w:rPr>
        <w:br w:type="page"/>
      </w:r>
    </w:p>
    <w:tbl>
      <w:tblPr>
        <w:tblStyle w:val="EPMTableStyle"/>
        <w:tblW w:w="9923" w:type="dxa"/>
        <w:tblLook w:val="04A0" w:firstRow="1" w:lastRow="0" w:firstColumn="1" w:lastColumn="0" w:noHBand="0" w:noVBand="1"/>
      </w:tblPr>
      <w:tblGrid>
        <w:gridCol w:w="7797"/>
        <w:gridCol w:w="2126"/>
      </w:tblGrid>
      <w:tr w:rsidR="003420EF" w:rsidRPr="0099024B" w14:paraId="0B071CCA" w14:textId="77777777" w:rsidTr="005B6E1E">
        <w:trPr>
          <w:cnfStyle w:val="100000000000" w:firstRow="1" w:lastRow="0" w:firstColumn="0" w:lastColumn="0" w:oddVBand="0" w:evenVBand="0" w:oddHBand="0" w:evenHBand="0" w:firstRowFirstColumn="0" w:firstRowLastColumn="0" w:lastRowFirstColumn="0" w:lastRowLastColumn="0"/>
        </w:trPr>
        <w:tc>
          <w:tcPr>
            <w:tcW w:w="7797" w:type="dxa"/>
            <w:tcBorders>
              <w:bottom w:val="single" w:sz="4" w:space="0" w:color="242E55"/>
            </w:tcBorders>
            <w:shd w:val="clear" w:color="auto" w:fill="242E54"/>
          </w:tcPr>
          <w:p w14:paraId="248F7DAA" w14:textId="77777777" w:rsidR="003420EF" w:rsidRPr="00DE30A3" w:rsidRDefault="003420EF" w:rsidP="005B6E1E">
            <w:pPr>
              <w:pStyle w:val="EPMTableHeading"/>
              <w:rPr>
                <w:bCs w:val="0"/>
              </w:rPr>
            </w:pPr>
            <w:r>
              <w:t>HR Related School Files/Records</w:t>
            </w:r>
          </w:p>
        </w:tc>
        <w:tc>
          <w:tcPr>
            <w:tcW w:w="2126" w:type="dxa"/>
            <w:tcBorders>
              <w:bottom w:val="single" w:sz="4" w:space="0" w:color="242E55"/>
            </w:tcBorders>
            <w:shd w:val="clear" w:color="auto" w:fill="242E54"/>
          </w:tcPr>
          <w:p w14:paraId="2FD49FE7" w14:textId="77777777" w:rsidR="003420EF" w:rsidRPr="00DE30A3" w:rsidRDefault="003420EF" w:rsidP="005B6E1E">
            <w:pPr>
              <w:pStyle w:val="EPMTableHeading"/>
              <w:rPr>
                <w:b w:val="0"/>
              </w:rPr>
            </w:pPr>
            <w:r>
              <w:t>Date Received</w:t>
            </w:r>
          </w:p>
        </w:tc>
      </w:tr>
      <w:tr w:rsidR="00535099" w:rsidRPr="0099024B" w14:paraId="11E1A049" w14:textId="77777777" w:rsidTr="005B6E1E">
        <w:tc>
          <w:tcPr>
            <w:tcW w:w="7797" w:type="dxa"/>
            <w:tcBorders>
              <w:top w:val="single" w:sz="4" w:space="0" w:color="242E55"/>
              <w:bottom w:val="single" w:sz="4" w:space="0" w:color="9FAAC4"/>
              <w:right w:val="single" w:sz="4" w:space="0" w:color="9FAAC4"/>
            </w:tcBorders>
          </w:tcPr>
          <w:p w14:paraId="2AE829E1" w14:textId="45697D3B" w:rsidR="00535099" w:rsidRPr="00590B89" w:rsidRDefault="00535099" w:rsidP="00535099">
            <w:pPr>
              <w:rPr>
                <w:rFonts w:ascii="Avenir Next LT Pro" w:hAnsi="Avenir Next LT Pro" w:cs="Arial"/>
                <w:b w:val="0"/>
                <w:bCs/>
                <w:sz w:val="21"/>
                <w:szCs w:val="21"/>
              </w:rPr>
            </w:pPr>
            <w:r w:rsidRPr="000060D0">
              <w:rPr>
                <w:rFonts w:ascii="Avenir Next LT Pro" w:hAnsi="Avenir Next LT Pro" w:cs="Arial"/>
                <w:b w:val="0"/>
                <w:bCs/>
                <w:sz w:val="21"/>
                <w:szCs w:val="21"/>
              </w:rPr>
              <w:t xml:space="preserve">A copy of any job evaluation scheme </w:t>
            </w:r>
          </w:p>
        </w:tc>
        <w:tc>
          <w:tcPr>
            <w:tcW w:w="2126" w:type="dxa"/>
            <w:tcBorders>
              <w:top w:val="single" w:sz="4" w:space="0" w:color="242E55"/>
              <w:left w:val="single" w:sz="4" w:space="0" w:color="9FAAC4"/>
              <w:bottom w:val="single" w:sz="4" w:space="0" w:color="9FAAC4"/>
            </w:tcBorders>
          </w:tcPr>
          <w:p w14:paraId="279B74EE" w14:textId="77777777" w:rsidR="00535099" w:rsidRPr="000F2D2C" w:rsidRDefault="00535099" w:rsidP="00535099">
            <w:pPr>
              <w:rPr>
                <w:rFonts w:ascii="Avenir Next LT Pro" w:hAnsi="Avenir Next LT Pro" w:cs="Arial"/>
                <w:b w:val="0"/>
                <w:bCs/>
                <w:sz w:val="21"/>
                <w:szCs w:val="21"/>
              </w:rPr>
            </w:pPr>
          </w:p>
        </w:tc>
      </w:tr>
      <w:tr w:rsidR="00535099" w:rsidRPr="0099024B" w14:paraId="6DA32768" w14:textId="77777777" w:rsidTr="005B6E1E">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FFFFFF" w:themeFill="background1"/>
          </w:tcPr>
          <w:p w14:paraId="17CED17C" w14:textId="7AF615C6" w:rsidR="00535099" w:rsidRPr="00590B89" w:rsidRDefault="00535099" w:rsidP="00535099">
            <w:pPr>
              <w:rPr>
                <w:rFonts w:ascii="Avenir Next LT Pro" w:hAnsi="Avenir Next LT Pro" w:cs="Arial"/>
                <w:b w:val="0"/>
                <w:bCs/>
                <w:sz w:val="21"/>
                <w:szCs w:val="21"/>
              </w:rPr>
            </w:pPr>
            <w:r w:rsidRPr="000060D0">
              <w:rPr>
                <w:rFonts w:ascii="Avenir Next LT Pro" w:hAnsi="Avenir Next LT Pro" w:cs="Arial"/>
                <w:b w:val="0"/>
                <w:bCs/>
                <w:sz w:val="21"/>
                <w:szCs w:val="21"/>
              </w:rPr>
              <w:t xml:space="preserve">Grievance procedure/bullying &amp; harassment procedure </w:t>
            </w:r>
          </w:p>
        </w:tc>
        <w:tc>
          <w:tcPr>
            <w:tcW w:w="2126" w:type="dxa"/>
            <w:tcBorders>
              <w:top w:val="single" w:sz="4" w:space="0" w:color="9FAAC4"/>
              <w:left w:val="single" w:sz="4" w:space="0" w:color="9FAAC4"/>
              <w:bottom w:val="single" w:sz="4" w:space="0" w:color="9FAAC4"/>
            </w:tcBorders>
            <w:shd w:val="clear" w:color="auto" w:fill="FFFFFF" w:themeFill="background1"/>
          </w:tcPr>
          <w:p w14:paraId="74474807" w14:textId="77777777" w:rsidR="00535099" w:rsidRPr="000F2D2C" w:rsidRDefault="00535099" w:rsidP="00535099">
            <w:pPr>
              <w:rPr>
                <w:rFonts w:ascii="Avenir Next LT Pro" w:hAnsi="Avenir Next LT Pro" w:cs="Arial"/>
                <w:b w:val="0"/>
                <w:bCs/>
                <w:sz w:val="21"/>
                <w:szCs w:val="21"/>
              </w:rPr>
            </w:pPr>
          </w:p>
        </w:tc>
      </w:tr>
      <w:tr w:rsidR="00535099" w:rsidRPr="0099024B" w14:paraId="0C390101" w14:textId="77777777" w:rsidTr="005B6E1E">
        <w:tc>
          <w:tcPr>
            <w:tcW w:w="7797" w:type="dxa"/>
            <w:tcBorders>
              <w:top w:val="single" w:sz="4" w:space="0" w:color="9FAAC4"/>
              <w:bottom w:val="single" w:sz="4" w:space="0" w:color="9FAAC4"/>
              <w:right w:val="single" w:sz="4" w:space="0" w:color="9FAAC4"/>
            </w:tcBorders>
          </w:tcPr>
          <w:p w14:paraId="272BAC28" w14:textId="4DAE48DC" w:rsidR="00535099" w:rsidRPr="00590B89" w:rsidRDefault="00535099" w:rsidP="00535099">
            <w:pPr>
              <w:rPr>
                <w:rFonts w:ascii="Avenir Next LT Pro" w:hAnsi="Avenir Next LT Pro" w:cs="Arial"/>
                <w:b w:val="0"/>
                <w:bCs/>
                <w:sz w:val="21"/>
                <w:szCs w:val="21"/>
              </w:rPr>
            </w:pPr>
            <w:r w:rsidRPr="000060D0">
              <w:rPr>
                <w:rFonts w:ascii="Avenir Next LT Pro" w:hAnsi="Avenir Next LT Pro" w:cs="Arial"/>
                <w:b w:val="0"/>
                <w:bCs/>
                <w:sz w:val="21"/>
                <w:szCs w:val="21"/>
              </w:rPr>
              <w:t xml:space="preserve">ICT acceptable use policy </w:t>
            </w:r>
          </w:p>
        </w:tc>
        <w:tc>
          <w:tcPr>
            <w:tcW w:w="2126" w:type="dxa"/>
            <w:tcBorders>
              <w:top w:val="single" w:sz="4" w:space="0" w:color="9FAAC4"/>
              <w:left w:val="single" w:sz="4" w:space="0" w:color="9FAAC4"/>
              <w:bottom w:val="single" w:sz="4" w:space="0" w:color="9FAAC4"/>
            </w:tcBorders>
          </w:tcPr>
          <w:p w14:paraId="5178393F" w14:textId="77777777" w:rsidR="00535099" w:rsidRPr="000F2D2C" w:rsidRDefault="00535099" w:rsidP="00535099">
            <w:pPr>
              <w:rPr>
                <w:rFonts w:ascii="Avenir Next LT Pro" w:hAnsi="Avenir Next LT Pro" w:cs="Arial"/>
                <w:b w:val="0"/>
                <w:bCs/>
                <w:sz w:val="21"/>
                <w:szCs w:val="21"/>
              </w:rPr>
            </w:pPr>
          </w:p>
        </w:tc>
      </w:tr>
      <w:tr w:rsidR="008A6D32" w:rsidRPr="0099024B" w14:paraId="5172DDAE" w14:textId="77777777" w:rsidTr="005B6E1E">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auto"/>
          </w:tcPr>
          <w:p w14:paraId="01E8320C" w14:textId="0DB2585D" w:rsidR="008A6D32" w:rsidRPr="00590B89" w:rsidRDefault="008A6D32" w:rsidP="008A6D32">
            <w:pPr>
              <w:rPr>
                <w:rFonts w:ascii="Avenir Next LT Pro" w:hAnsi="Avenir Next LT Pro" w:cs="Arial"/>
                <w:b w:val="0"/>
                <w:bCs/>
                <w:sz w:val="21"/>
                <w:szCs w:val="21"/>
              </w:rPr>
            </w:pPr>
            <w:r w:rsidRPr="000060D0">
              <w:rPr>
                <w:rFonts w:ascii="Avenir Next LT Pro" w:hAnsi="Avenir Next LT Pro" w:cs="Arial"/>
                <w:b w:val="0"/>
                <w:bCs/>
                <w:sz w:val="21"/>
                <w:szCs w:val="21"/>
              </w:rPr>
              <w:t xml:space="preserve">Equal opportunity policy </w:t>
            </w:r>
          </w:p>
        </w:tc>
        <w:tc>
          <w:tcPr>
            <w:tcW w:w="2126" w:type="dxa"/>
            <w:tcBorders>
              <w:top w:val="single" w:sz="4" w:space="0" w:color="9FAAC4"/>
              <w:left w:val="single" w:sz="4" w:space="0" w:color="9FAAC4"/>
              <w:bottom w:val="single" w:sz="4" w:space="0" w:color="9FAAC4"/>
            </w:tcBorders>
            <w:shd w:val="clear" w:color="auto" w:fill="auto"/>
          </w:tcPr>
          <w:p w14:paraId="43D4B00E" w14:textId="77777777" w:rsidR="008A6D32" w:rsidRPr="000F2D2C" w:rsidRDefault="008A6D32" w:rsidP="008A6D32">
            <w:pPr>
              <w:rPr>
                <w:rFonts w:ascii="Avenir Next LT Pro" w:hAnsi="Avenir Next LT Pro" w:cs="Arial"/>
                <w:b w:val="0"/>
                <w:bCs/>
                <w:sz w:val="21"/>
                <w:szCs w:val="21"/>
              </w:rPr>
            </w:pPr>
          </w:p>
        </w:tc>
      </w:tr>
      <w:tr w:rsidR="008A6D32" w:rsidRPr="0099024B" w14:paraId="2B9EE078" w14:textId="77777777" w:rsidTr="005B6E1E">
        <w:tc>
          <w:tcPr>
            <w:tcW w:w="7797" w:type="dxa"/>
            <w:tcBorders>
              <w:top w:val="single" w:sz="4" w:space="0" w:color="9FAAC4"/>
              <w:bottom w:val="single" w:sz="4" w:space="0" w:color="9FAAC4"/>
              <w:right w:val="single" w:sz="4" w:space="0" w:color="9FAAC4"/>
            </w:tcBorders>
          </w:tcPr>
          <w:p w14:paraId="3EAF4FD3" w14:textId="0DF4A4DB" w:rsidR="008A6D32" w:rsidRPr="00590B89" w:rsidRDefault="008A6D32" w:rsidP="008A6D32">
            <w:pPr>
              <w:rPr>
                <w:rFonts w:ascii="Avenir Next LT Pro" w:hAnsi="Avenir Next LT Pro" w:cs="Arial"/>
                <w:b w:val="0"/>
                <w:bCs/>
                <w:sz w:val="21"/>
                <w:szCs w:val="21"/>
              </w:rPr>
            </w:pPr>
            <w:r w:rsidRPr="000060D0">
              <w:rPr>
                <w:rFonts w:ascii="Avenir Next LT Pro" w:hAnsi="Avenir Next LT Pro" w:cs="Arial"/>
                <w:b w:val="0"/>
                <w:bCs/>
                <w:sz w:val="21"/>
                <w:szCs w:val="21"/>
              </w:rPr>
              <w:t xml:space="preserve">Disciplinary procedure </w:t>
            </w:r>
          </w:p>
        </w:tc>
        <w:tc>
          <w:tcPr>
            <w:tcW w:w="2126" w:type="dxa"/>
            <w:tcBorders>
              <w:top w:val="single" w:sz="4" w:space="0" w:color="9FAAC4"/>
              <w:left w:val="single" w:sz="4" w:space="0" w:color="9FAAC4"/>
              <w:bottom w:val="single" w:sz="4" w:space="0" w:color="9FAAC4"/>
            </w:tcBorders>
          </w:tcPr>
          <w:p w14:paraId="669635E8" w14:textId="77777777" w:rsidR="008A6D32" w:rsidRPr="000F2D2C" w:rsidRDefault="008A6D32" w:rsidP="008A6D32">
            <w:pPr>
              <w:rPr>
                <w:rFonts w:ascii="Avenir Next LT Pro" w:hAnsi="Avenir Next LT Pro" w:cs="Arial"/>
                <w:b w:val="0"/>
                <w:bCs/>
                <w:sz w:val="21"/>
                <w:szCs w:val="21"/>
              </w:rPr>
            </w:pPr>
          </w:p>
        </w:tc>
      </w:tr>
      <w:tr w:rsidR="003420EF" w:rsidRPr="0099024B" w14:paraId="648272DA" w14:textId="77777777" w:rsidTr="005B6E1E">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auto"/>
          </w:tcPr>
          <w:p w14:paraId="0916379C" w14:textId="0764BEFD" w:rsidR="003420EF" w:rsidRPr="00590B89" w:rsidRDefault="00447405" w:rsidP="005B6E1E">
            <w:pPr>
              <w:rPr>
                <w:rFonts w:ascii="Avenir Next LT Pro" w:hAnsi="Avenir Next LT Pro" w:cs="Arial"/>
                <w:b w:val="0"/>
                <w:bCs/>
                <w:sz w:val="21"/>
                <w:szCs w:val="21"/>
              </w:rPr>
            </w:pPr>
            <w:r w:rsidRPr="00447405">
              <w:rPr>
                <w:rFonts w:ascii="Avenir Next LT Pro" w:hAnsi="Avenir Next LT Pro" w:cs="Arial"/>
                <w:b w:val="0"/>
                <w:bCs/>
                <w:sz w:val="21"/>
                <w:szCs w:val="21"/>
              </w:rPr>
              <w:t>Maternity pay and paternity leave/adoption leave and pay/shared parental leave and pay/unpaid parental leave</w:t>
            </w:r>
          </w:p>
        </w:tc>
        <w:tc>
          <w:tcPr>
            <w:tcW w:w="2126" w:type="dxa"/>
            <w:tcBorders>
              <w:top w:val="single" w:sz="4" w:space="0" w:color="9FAAC4"/>
              <w:left w:val="single" w:sz="4" w:space="0" w:color="9FAAC4"/>
              <w:bottom w:val="single" w:sz="4" w:space="0" w:color="9FAAC4"/>
            </w:tcBorders>
            <w:shd w:val="clear" w:color="auto" w:fill="auto"/>
          </w:tcPr>
          <w:p w14:paraId="3460113F" w14:textId="77777777" w:rsidR="003420EF" w:rsidRPr="000F2D2C" w:rsidRDefault="003420EF" w:rsidP="005B6E1E">
            <w:pPr>
              <w:rPr>
                <w:rFonts w:ascii="Avenir Next LT Pro" w:hAnsi="Avenir Next LT Pro" w:cs="Arial"/>
                <w:b w:val="0"/>
                <w:bCs/>
                <w:sz w:val="21"/>
                <w:szCs w:val="21"/>
              </w:rPr>
            </w:pPr>
          </w:p>
        </w:tc>
      </w:tr>
      <w:tr w:rsidR="00070AA6" w:rsidRPr="0099024B" w14:paraId="4A30850E" w14:textId="77777777" w:rsidTr="005B6E1E">
        <w:tc>
          <w:tcPr>
            <w:tcW w:w="7797" w:type="dxa"/>
            <w:tcBorders>
              <w:top w:val="single" w:sz="4" w:space="0" w:color="9FAAC4"/>
              <w:bottom w:val="single" w:sz="4" w:space="0" w:color="9FAAC4"/>
              <w:right w:val="single" w:sz="4" w:space="0" w:color="9FAAC4"/>
            </w:tcBorders>
          </w:tcPr>
          <w:p w14:paraId="7B7D14A5" w14:textId="01290D46" w:rsidR="00070AA6" w:rsidRPr="00590B89" w:rsidRDefault="00070AA6" w:rsidP="00070AA6">
            <w:pPr>
              <w:rPr>
                <w:rFonts w:ascii="Avenir Next LT Pro" w:hAnsi="Avenir Next LT Pro" w:cs="Arial"/>
                <w:b w:val="0"/>
                <w:bCs/>
                <w:sz w:val="21"/>
                <w:szCs w:val="21"/>
              </w:rPr>
            </w:pPr>
            <w:r w:rsidRPr="000060D0">
              <w:rPr>
                <w:rFonts w:ascii="Avenir Next LT Pro" w:hAnsi="Avenir Next LT Pro" w:cs="Arial"/>
                <w:b w:val="0"/>
                <w:bCs/>
                <w:sz w:val="21"/>
                <w:szCs w:val="21"/>
              </w:rPr>
              <w:t xml:space="preserve">Annual leave policy </w:t>
            </w:r>
          </w:p>
        </w:tc>
        <w:tc>
          <w:tcPr>
            <w:tcW w:w="2126" w:type="dxa"/>
            <w:tcBorders>
              <w:top w:val="single" w:sz="4" w:space="0" w:color="9FAAC4"/>
              <w:left w:val="single" w:sz="4" w:space="0" w:color="9FAAC4"/>
              <w:bottom w:val="single" w:sz="4" w:space="0" w:color="9FAAC4"/>
            </w:tcBorders>
          </w:tcPr>
          <w:p w14:paraId="088DFD06" w14:textId="77777777" w:rsidR="00070AA6" w:rsidRPr="000F2D2C" w:rsidRDefault="00070AA6" w:rsidP="00070AA6">
            <w:pPr>
              <w:rPr>
                <w:rFonts w:ascii="Avenir Next LT Pro" w:hAnsi="Avenir Next LT Pro" w:cs="Arial"/>
                <w:b w:val="0"/>
                <w:bCs/>
                <w:sz w:val="21"/>
                <w:szCs w:val="21"/>
              </w:rPr>
            </w:pPr>
          </w:p>
        </w:tc>
      </w:tr>
      <w:tr w:rsidR="00070AA6" w:rsidRPr="0099024B" w14:paraId="29350F5F" w14:textId="77777777" w:rsidTr="005B6E1E">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auto"/>
          </w:tcPr>
          <w:p w14:paraId="426D3491" w14:textId="1EEEFA18" w:rsidR="00070AA6" w:rsidRPr="00590B89" w:rsidRDefault="00070AA6" w:rsidP="00070AA6">
            <w:pPr>
              <w:rPr>
                <w:rFonts w:ascii="Avenir Next LT Pro" w:hAnsi="Avenir Next LT Pro" w:cs="Arial"/>
                <w:b w:val="0"/>
                <w:bCs/>
                <w:sz w:val="21"/>
                <w:szCs w:val="21"/>
              </w:rPr>
            </w:pPr>
            <w:r w:rsidRPr="000060D0">
              <w:rPr>
                <w:rFonts w:ascii="Avenir Next LT Pro" w:hAnsi="Avenir Next LT Pro" w:cs="Arial"/>
                <w:b w:val="0"/>
                <w:bCs/>
                <w:sz w:val="21"/>
                <w:szCs w:val="21"/>
              </w:rPr>
              <w:t xml:space="preserve">Special or discretionary leave policy </w:t>
            </w:r>
          </w:p>
        </w:tc>
        <w:tc>
          <w:tcPr>
            <w:tcW w:w="2126" w:type="dxa"/>
            <w:tcBorders>
              <w:top w:val="single" w:sz="4" w:space="0" w:color="9FAAC4"/>
              <w:left w:val="single" w:sz="4" w:space="0" w:color="9FAAC4"/>
              <w:bottom w:val="single" w:sz="4" w:space="0" w:color="9FAAC4"/>
            </w:tcBorders>
            <w:shd w:val="clear" w:color="auto" w:fill="auto"/>
          </w:tcPr>
          <w:p w14:paraId="72866747" w14:textId="77777777" w:rsidR="00070AA6" w:rsidRPr="000F2D2C" w:rsidRDefault="00070AA6" w:rsidP="00070AA6">
            <w:pPr>
              <w:rPr>
                <w:rFonts w:ascii="Avenir Next LT Pro" w:hAnsi="Avenir Next LT Pro" w:cs="Arial"/>
                <w:b w:val="0"/>
                <w:bCs/>
                <w:sz w:val="21"/>
                <w:szCs w:val="21"/>
              </w:rPr>
            </w:pPr>
          </w:p>
        </w:tc>
      </w:tr>
      <w:tr w:rsidR="00070AA6" w:rsidRPr="0099024B" w14:paraId="78984FBE" w14:textId="77777777" w:rsidTr="005B6E1E">
        <w:tc>
          <w:tcPr>
            <w:tcW w:w="7797" w:type="dxa"/>
            <w:tcBorders>
              <w:top w:val="single" w:sz="4" w:space="0" w:color="9FAAC4"/>
              <w:bottom w:val="single" w:sz="4" w:space="0" w:color="9FAAC4"/>
              <w:right w:val="single" w:sz="4" w:space="0" w:color="9FAAC4"/>
            </w:tcBorders>
          </w:tcPr>
          <w:p w14:paraId="739B7DA9" w14:textId="50FD1F05" w:rsidR="00070AA6" w:rsidRPr="000060D0" w:rsidRDefault="00070AA6" w:rsidP="00070AA6">
            <w:pPr>
              <w:rPr>
                <w:rFonts w:ascii="Avenir Next LT Pro" w:hAnsi="Avenir Next LT Pro" w:cs="Arial"/>
                <w:b w:val="0"/>
                <w:bCs/>
                <w:sz w:val="21"/>
                <w:szCs w:val="21"/>
              </w:rPr>
            </w:pPr>
            <w:r w:rsidRPr="000060D0">
              <w:rPr>
                <w:rFonts w:ascii="Avenir Next LT Pro" w:hAnsi="Avenir Next LT Pro" w:cs="Arial"/>
                <w:b w:val="0"/>
                <w:bCs/>
                <w:sz w:val="21"/>
                <w:szCs w:val="21"/>
              </w:rPr>
              <w:t xml:space="preserve">Redundancy policy/procedure including redundancy pay/any redeployment procedures </w:t>
            </w:r>
          </w:p>
        </w:tc>
        <w:tc>
          <w:tcPr>
            <w:tcW w:w="2126" w:type="dxa"/>
            <w:tcBorders>
              <w:top w:val="single" w:sz="4" w:space="0" w:color="9FAAC4"/>
              <w:left w:val="single" w:sz="4" w:space="0" w:color="9FAAC4"/>
              <w:bottom w:val="single" w:sz="4" w:space="0" w:color="9FAAC4"/>
            </w:tcBorders>
          </w:tcPr>
          <w:p w14:paraId="2F30A78B" w14:textId="77777777" w:rsidR="00070AA6" w:rsidRPr="000F2D2C" w:rsidRDefault="00070AA6" w:rsidP="00070AA6">
            <w:pPr>
              <w:rPr>
                <w:rFonts w:ascii="Avenir Next LT Pro" w:hAnsi="Avenir Next LT Pro" w:cs="Arial"/>
                <w:b w:val="0"/>
                <w:bCs/>
                <w:sz w:val="21"/>
                <w:szCs w:val="21"/>
              </w:rPr>
            </w:pPr>
          </w:p>
        </w:tc>
      </w:tr>
      <w:tr w:rsidR="000060D0" w:rsidRPr="0099024B" w14:paraId="3AB1D011" w14:textId="77777777" w:rsidTr="005B6E1E">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auto"/>
          </w:tcPr>
          <w:p w14:paraId="06381A79" w14:textId="744DBDB1" w:rsidR="000060D0" w:rsidRPr="000060D0" w:rsidRDefault="000060D0" w:rsidP="000060D0">
            <w:pPr>
              <w:rPr>
                <w:rFonts w:ascii="Avenir Next LT Pro" w:hAnsi="Avenir Next LT Pro" w:cs="Arial"/>
                <w:b w:val="0"/>
                <w:bCs/>
                <w:sz w:val="21"/>
                <w:szCs w:val="21"/>
              </w:rPr>
            </w:pPr>
            <w:r w:rsidRPr="000060D0">
              <w:rPr>
                <w:rFonts w:ascii="Avenir Next LT Pro" w:hAnsi="Avenir Next LT Pro" w:cs="Arial"/>
                <w:b w:val="0"/>
                <w:bCs/>
                <w:sz w:val="21"/>
                <w:szCs w:val="21"/>
              </w:rPr>
              <w:t xml:space="preserve">Sickness absence policy/procedure and sick pay entitlements </w:t>
            </w:r>
          </w:p>
        </w:tc>
        <w:tc>
          <w:tcPr>
            <w:tcW w:w="2126" w:type="dxa"/>
            <w:tcBorders>
              <w:top w:val="single" w:sz="4" w:space="0" w:color="9FAAC4"/>
              <w:left w:val="single" w:sz="4" w:space="0" w:color="9FAAC4"/>
              <w:bottom w:val="single" w:sz="4" w:space="0" w:color="9FAAC4"/>
            </w:tcBorders>
            <w:shd w:val="clear" w:color="auto" w:fill="auto"/>
          </w:tcPr>
          <w:p w14:paraId="315C3D8B" w14:textId="77777777" w:rsidR="000060D0" w:rsidRPr="000F2D2C" w:rsidRDefault="000060D0" w:rsidP="000060D0">
            <w:pPr>
              <w:rPr>
                <w:rFonts w:ascii="Avenir Next LT Pro" w:hAnsi="Avenir Next LT Pro" w:cs="Arial"/>
                <w:b w:val="0"/>
                <w:bCs/>
                <w:sz w:val="21"/>
                <w:szCs w:val="21"/>
              </w:rPr>
            </w:pPr>
          </w:p>
        </w:tc>
      </w:tr>
      <w:tr w:rsidR="000060D0" w:rsidRPr="0099024B" w14:paraId="2FD93C9D" w14:textId="77777777" w:rsidTr="005B6E1E">
        <w:tc>
          <w:tcPr>
            <w:tcW w:w="7797" w:type="dxa"/>
            <w:tcBorders>
              <w:top w:val="single" w:sz="4" w:space="0" w:color="9FAAC4"/>
              <w:bottom w:val="single" w:sz="4" w:space="0" w:color="9FAAC4"/>
              <w:right w:val="single" w:sz="4" w:space="0" w:color="9FAAC4"/>
            </w:tcBorders>
          </w:tcPr>
          <w:p w14:paraId="5287FC75" w14:textId="65733412" w:rsidR="000060D0" w:rsidRPr="000060D0" w:rsidRDefault="000060D0" w:rsidP="000060D0">
            <w:pPr>
              <w:rPr>
                <w:rFonts w:ascii="Avenir Next LT Pro" w:hAnsi="Avenir Next LT Pro" w:cs="Arial"/>
                <w:b w:val="0"/>
                <w:bCs/>
                <w:sz w:val="21"/>
                <w:szCs w:val="21"/>
              </w:rPr>
            </w:pPr>
            <w:r w:rsidRPr="000060D0">
              <w:rPr>
                <w:rFonts w:ascii="Avenir Next LT Pro" w:hAnsi="Avenir Next LT Pro" w:cs="Arial"/>
                <w:b w:val="0"/>
                <w:bCs/>
                <w:sz w:val="21"/>
                <w:szCs w:val="21"/>
              </w:rPr>
              <w:t xml:space="preserve">Staffing and pay structure, pay policy </w:t>
            </w:r>
          </w:p>
        </w:tc>
        <w:tc>
          <w:tcPr>
            <w:tcW w:w="2126" w:type="dxa"/>
            <w:tcBorders>
              <w:top w:val="single" w:sz="4" w:space="0" w:color="9FAAC4"/>
              <w:left w:val="single" w:sz="4" w:space="0" w:color="9FAAC4"/>
              <w:bottom w:val="single" w:sz="4" w:space="0" w:color="9FAAC4"/>
            </w:tcBorders>
          </w:tcPr>
          <w:p w14:paraId="45ECFE01" w14:textId="77777777" w:rsidR="000060D0" w:rsidRPr="000F2D2C" w:rsidRDefault="000060D0" w:rsidP="000060D0">
            <w:pPr>
              <w:rPr>
                <w:rFonts w:ascii="Avenir Next LT Pro" w:hAnsi="Avenir Next LT Pro" w:cs="Arial"/>
                <w:b w:val="0"/>
                <w:bCs/>
                <w:sz w:val="21"/>
                <w:szCs w:val="21"/>
              </w:rPr>
            </w:pPr>
          </w:p>
        </w:tc>
      </w:tr>
      <w:tr w:rsidR="000060D0" w:rsidRPr="0099024B" w14:paraId="2AF820AA" w14:textId="77777777" w:rsidTr="005B6E1E">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auto"/>
          </w:tcPr>
          <w:p w14:paraId="3BF71B1E" w14:textId="0FA191A6" w:rsidR="000060D0" w:rsidRPr="000060D0" w:rsidRDefault="000060D0" w:rsidP="000060D0">
            <w:pPr>
              <w:rPr>
                <w:rFonts w:ascii="Avenir Next LT Pro" w:hAnsi="Avenir Next LT Pro" w:cs="Arial"/>
                <w:b w:val="0"/>
                <w:bCs/>
                <w:sz w:val="21"/>
                <w:szCs w:val="21"/>
              </w:rPr>
            </w:pPr>
            <w:r w:rsidRPr="000060D0">
              <w:rPr>
                <w:rFonts w:ascii="Avenir Next LT Pro" w:hAnsi="Avenir Next LT Pro" w:cs="Arial"/>
                <w:b w:val="0"/>
                <w:bCs/>
                <w:sz w:val="21"/>
                <w:szCs w:val="21"/>
              </w:rPr>
              <w:t xml:space="preserve">Long service awards policy </w:t>
            </w:r>
          </w:p>
        </w:tc>
        <w:tc>
          <w:tcPr>
            <w:tcW w:w="2126" w:type="dxa"/>
            <w:tcBorders>
              <w:top w:val="single" w:sz="4" w:space="0" w:color="9FAAC4"/>
              <w:left w:val="single" w:sz="4" w:space="0" w:color="9FAAC4"/>
              <w:bottom w:val="single" w:sz="4" w:space="0" w:color="9FAAC4"/>
            </w:tcBorders>
            <w:shd w:val="clear" w:color="auto" w:fill="auto"/>
          </w:tcPr>
          <w:p w14:paraId="11D81DB3" w14:textId="77777777" w:rsidR="000060D0" w:rsidRPr="000F2D2C" w:rsidRDefault="000060D0" w:rsidP="000060D0">
            <w:pPr>
              <w:rPr>
                <w:rFonts w:ascii="Avenir Next LT Pro" w:hAnsi="Avenir Next LT Pro" w:cs="Arial"/>
                <w:b w:val="0"/>
                <w:bCs/>
                <w:sz w:val="21"/>
                <w:szCs w:val="21"/>
              </w:rPr>
            </w:pPr>
          </w:p>
        </w:tc>
      </w:tr>
      <w:tr w:rsidR="000060D0" w:rsidRPr="0099024B" w14:paraId="3FB90F8E" w14:textId="77777777" w:rsidTr="005B6E1E">
        <w:tc>
          <w:tcPr>
            <w:tcW w:w="7797" w:type="dxa"/>
            <w:tcBorders>
              <w:top w:val="single" w:sz="4" w:space="0" w:color="9FAAC4"/>
              <w:bottom w:val="single" w:sz="4" w:space="0" w:color="9FAAC4"/>
              <w:right w:val="single" w:sz="4" w:space="0" w:color="9FAAC4"/>
            </w:tcBorders>
          </w:tcPr>
          <w:p w14:paraId="0C09DBEC" w14:textId="445D517D" w:rsidR="000060D0" w:rsidRPr="000060D0" w:rsidRDefault="000060D0" w:rsidP="000060D0">
            <w:pPr>
              <w:rPr>
                <w:rFonts w:ascii="Avenir Next LT Pro" w:hAnsi="Avenir Next LT Pro" w:cs="Arial"/>
                <w:b w:val="0"/>
                <w:bCs/>
                <w:sz w:val="21"/>
                <w:szCs w:val="21"/>
              </w:rPr>
            </w:pPr>
            <w:r w:rsidRPr="000060D0">
              <w:rPr>
                <w:rFonts w:ascii="Avenir Next LT Pro" w:hAnsi="Avenir Next LT Pro" w:cs="Arial"/>
                <w:b w:val="0"/>
                <w:bCs/>
                <w:sz w:val="21"/>
                <w:szCs w:val="21"/>
              </w:rPr>
              <w:t xml:space="preserve">Trade union recognition agreement as well as a list of the representatives Including details of any health and safety committees/representatives </w:t>
            </w:r>
          </w:p>
        </w:tc>
        <w:tc>
          <w:tcPr>
            <w:tcW w:w="2126" w:type="dxa"/>
            <w:tcBorders>
              <w:top w:val="single" w:sz="4" w:space="0" w:color="9FAAC4"/>
              <w:left w:val="single" w:sz="4" w:space="0" w:color="9FAAC4"/>
              <w:bottom w:val="single" w:sz="4" w:space="0" w:color="9FAAC4"/>
            </w:tcBorders>
          </w:tcPr>
          <w:p w14:paraId="7146AF1E" w14:textId="77777777" w:rsidR="000060D0" w:rsidRPr="000F2D2C" w:rsidRDefault="000060D0" w:rsidP="000060D0">
            <w:pPr>
              <w:rPr>
                <w:rFonts w:ascii="Avenir Next LT Pro" w:hAnsi="Avenir Next LT Pro" w:cs="Arial"/>
                <w:b w:val="0"/>
                <w:bCs/>
                <w:sz w:val="21"/>
                <w:szCs w:val="21"/>
              </w:rPr>
            </w:pPr>
          </w:p>
        </w:tc>
      </w:tr>
      <w:tr w:rsidR="000060D0" w:rsidRPr="0099024B" w14:paraId="493F6220" w14:textId="77777777" w:rsidTr="000060D0">
        <w:trPr>
          <w:cnfStyle w:val="000000010000" w:firstRow="0" w:lastRow="0" w:firstColumn="0" w:lastColumn="0" w:oddVBand="0" w:evenVBand="0" w:oddHBand="0" w:evenHBand="1" w:firstRowFirstColumn="0" w:firstRowLastColumn="0" w:lastRowFirstColumn="0" w:lastRowLastColumn="0"/>
        </w:trPr>
        <w:tc>
          <w:tcPr>
            <w:tcW w:w="7797" w:type="dxa"/>
            <w:tcBorders>
              <w:top w:val="single" w:sz="4" w:space="0" w:color="9FAAC4"/>
              <w:bottom w:val="single" w:sz="4" w:space="0" w:color="9FAAC4"/>
              <w:right w:val="single" w:sz="4" w:space="0" w:color="9FAAC4"/>
            </w:tcBorders>
            <w:shd w:val="clear" w:color="auto" w:fill="auto"/>
          </w:tcPr>
          <w:p w14:paraId="013D0257" w14:textId="4B0C0D7D" w:rsidR="000060D0" w:rsidRPr="000060D0" w:rsidRDefault="000060D0" w:rsidP="000060D0">
            <w:pPr>
              <w:rPr>
                <w:rFonts w:ascii="Avenir Next LT Pro" w:hAnsi="Avenir Next LT Pro" w:cs="Arial"/>
                <w:b w:val="0"/>
                <w:bCs/>
                <w:sz w:val="21"/>
                <w:szCs w:val="21"/>
              </w:rPr>
            </w:pPr>
            <w:r w:rsidRPr="000060D0">
              <w:rPr>
                <w:rFonts w:ascii="Avenir Next LT Pro" w:hAnsi="Avenir Next LT Pro" w:cs="Arial"/>
                <w:b w:val="0"/>
                <w:bCs/>
                <w:sz w:val="21"/>
                <w:szCs w:val="21"/>
              </w:rPr>
              <w:t xml:space="preserve">Add any other collective agreements </w:t>
            </w:r>
          </w:p>
        </w:tc>
        <w:tc>
          <w:tcPr>
            <w:tcW w:w="2126" w:type="dxa"/>
            <w:tcBorders>
              <w:top w:val="single" w:sz="4" w:space="0" w:color="9FAAC4"/>
              <w:left w:val="single" w:sz="4" w:space="0" w:color="9FAAC4"/>
              <w:bottom w:val="single" w:sz="4" w:space="0" w:color="9FAAC4"/>
            </w:tcBorders>
            <w:shd w:val="clear" w:color="auto" w:fill="auto"/>
          </w:tcPr>
          <w:p w14:paraId="1C8F871F" w14:textId="77777777" w:rsidR="000060D0" w:rsidRPr="000F2D2C" w:rsidRDefault="000060D0" w:rsidP="000060D0">
            <w:pPr>
              <w:rPr>
                <w:rFonts w:ascii="Avenir Next LT Pro" w:hAnsi="Avenir Next LT Pro" w:cs="Arial"/>
                <w:b w:val="0"/>
                <w:bCs/>
                <w:sz w:val="21"/>
                <w:szCs w:val="21"/>
              </w:rPr>
            </w:pPr>
          </w:p>
        </w:tc>
      </w:tr>
      <w:tr w:rsidR="00E42491" w:rsidRPr="0099024B" w14:paraId="15C1AD91" w14:textId="77777777" w:rsidTr="00DD099D">
        <w:tc>
          <w:tcPr>
            <w:tcW w:w="9923" w:type="dxa"/>
            <w:gridSpan w:val="2"/>
            <w:tcBorders>
              <w:top w:val="single" w:sz="4" w:space="0" w:color="9FAAC4"/>
              <w:bottom w:val="single" w:sz="4" w:space="0" w:color="9FAAC4"/>
            </w:tcBorders>
          </w:tcPr>
          <w:p w14:paraId="4AAB6D97" w14:textId="77777777" w:rsidR="00E66A6F" w:rsidRPr="00E66A6F" w:rsidRDefault="00E66A6F" w:rsidP="00E66A6F">
            <w:pPr>
              <w:spacing w:before="60" w:after="60"/>
              <w:rPr>
                <w:rFonts w:ascii="Avenir Next LT Pro" w:hAnsi="Avenir Next LT Pro" w:cs="Arial"/>
                <w:bCs/>
                <w:sz w:val="21"/>
                <w:szCs w:val="21"/>
              </w:rPr>
            </w:pPr>
            <w:r w:rsidRPr="00E66A6F">
              <w:rPr>
                <w:rFonts w:ascii="Avenir Next LT Pro" w:hAnsi="Avenir Next LT Pro" w:cs="Arial"/>
                <w:bCs/>
                <w:sz w:val="21"/>
                <w:szCs w:val="21"/>
              </w:rPr>
              <w:t xml:space="preserve">Burgundy Book (if applicable) </w:t>
            </w:r>
          </w:p>
          <w:p w14:paraId="79E30848" w14:textId="17574537" w:rsidR="00E42491" w:rsidRPr="006E423F" w:rsidRDefault="006E423F" w:rsidP="006E423F">
            <w:pPr>
              <w:pStyle w:val="EPMHyperlinks"/>
              <w:spacing w:after="60"/>
              <w:rPr>
                <w:b w:val="0"/>
                <w:bCs/>
              </w:rPr>
            </w:pPr>
            <w:hyperlink r:id="rId25" w:history="1">
              <w:r w:rsidR="00E66A6F" w:rsidRPr="006E423F">
                <w:rPr>
                  <w:rStyle w:val="Hyperlink"/>
                  <w:rFonts w:ascii="Avenir Next LT Pro" w:hAnsi="Avenir Next LT Pro"/>
                  <w:b w:val="0"/>
                  <w:bCs/>
                  <w:color w:val="26529E"/>
                </w:rPr>
                <w:t>Burgundy Book Conditions of Service for School Teachers</w:t>
              </w:r>
            </w:hyperlink>
          </w:p>
        </w:tc>
      </w:tr>
      <w:tr w:rsidR="00E42491" w:rsidRPr="0099024B" w14:paraId="4441C189" w14:textId="77777777" w:rsidTr="00E42491">
        <w:trPr>
          <w:cnfStyle w:val="000000010000" w:firstRow="0" w:lastRow="0" w:firstColumn="0" w:lastColumn="0" w:oddVBand="0" w:evenVBand="0" w:oddHBand="0" w:evenHBand="1" w:firstRowFirstColumn="0" w:firstRowLastColumn="0" w:lastRowFirstColumn="0" w:lastRowLastColumn="0"/>
        </w:trPr>
        <w:tc>
          <w:tcPr>
            <w:tcW w:w="9923" w:type="dxa"/>
            <w:gridSpan w:val="2"/>
            <w:tcBorders>
              <w:top w:val="single" w:sz="4" w:space="0" w:color="9FAAC4"/>
              <w:bottom w:val="single" w:sz="4" w:space="0" w:color="9FAAC4"/>
            </w:tcBorders>
            <w:shd w:val="clear" w:color="auto" w:fill="auto"/>
          </w:tcPr>
          <w:p w14:paraId="26F2ACB0" w14:textId="77777777" w:rsidR="005D5F6C" w:rsidRPr="005D5F6C" w:rsidRDefault="005D5F6C" w:rsidP="005D5F6C">
            <w:pPr>
              <w:spacing w:before="60" w:after="60"/>
              <w:rPr>
                <w:rFonts w:ascii="Avenir Next LT Pro" w:hAnsi="Avenir Next LT Pro" w:cs="Arial"/>
                <w:bCs/>
                <w:sz w:val="21"/>
                <w:szCs w:val="21"/>
              </w:rPr>
            </w:pPr>
            <w:r w:rsidRPr="005D5F6C">
              <w:rPr>
                <w:rFonts w:ascii="Avenir Next LT Pro" w:hAnsi="Avenir Next LT Pro" w:cs="Arial"/>
                <w:bCs/>
                <w:sz w:val="21"/>
                <w:szCs w:val="21"/>
              </w:rPr>
              <w:t xml:space="preserve">School Teachers Pay and Conditions Document (if applicable) </w:t>
            </w:r>
          </w:p>
          <w:p w14:paraId="46D06865" w14:textId="69F396AD" w:rsidR="00E42491" w:rsidRPr="006557A3" w:rsidRDefault="006557A3" w:rsidP="006557A3">
            <w:pPr>
              <w:pStyle w:val="EPMHyperlinks"/>
              <w:spacing w:after="60"/>
              <w:rPr>
                <w:b w:val="0"/>
                <w:bCs/>
              </w:rPr>
            </w:pPr>
            <w:hyperlink r:id="rId26" w:history="1">
              <w:r w:rsidR="005D5F6C" w:rsidRPr="006557A3">
                <w:rPr>
                  <w:rStyle w:val="Hyperlink"/>
                  <w:rFonts w:ascii="Avenir Next LT Pro" w:hAnsi="Avenir Next LT Pro"/>
                  <w:b w:val="0"/>
                  <w:bCs/>
                  <w:color w:val="26529E"/>
                </w:rPr>
                <w:t>School Teachers Pay and Conditions - EPM</w:t>
              </w:r>
            </w:hyperlink>
          </w:p>
        </w:tc>
      </w:tr>
      <w:tr w:rsidR="00E42491" w:rsidRPr="0099024B" w14:paraId="4C80A91B" w14:textId="77777777" w:rsidTr="00501DE4">
        <w:tc>
          <w:tcPr>
            <w:tcW w:w="9923" w:type="dxa"/>
            <w:gridSpan w:val="2"/>
            <w:tcBorders>
              <w:top w:val="single" w:sz="4" w:space="0" w:color="9FAAC4"/>
              <w:bottom w:val="single" w:sz="18" w:space="0" w:color="242E55"/>
            </w:tcBorders>
          </w:tcPr>
          <w:p w14:paraId="5486677B" w14:textId="77777777" w:rsidR="00B169CA" w:rsidRPr="00B169CA" w:rsidRDefault="00B169CA" w:rsidP="00B169CA">
            <w:pPr>
              <w:spacing w:before="60" w:after="60"/>
              <w:rPr>
                <w:rFonts w:ascii="Avenir Next LT Pro" w:hAnsi="Avenir Next LT Pro" w:cs="Arial"/>
                <w:bCs/>
                <w:sz w:val="21"/>
                <w:szCs w:val="21"/>
              </w:rPr>
            </w:pPr>
            <w:r w:rsidRPr="00B169CA">
              <w:rPr>
                <w:rFonts w:ascii="Avenir Next LT Pro" w:hAnsi="Avenir Next LT Pro" w:cs="Arial"/>
                <w:bCs/>
                <w:sz w:val="21"/>
                <w:szCs w:val="21"/>
              </w:rPr>
              <w:t xml:space="preserve">Green Book (if applicable) </w:t>
            </w:r>
          </w:p>
          <w:p w14:paraId="5E8FC4E0" w14:textId="383180A6" w:rsidR="00E42491" w:rsidRPr="00A56F6E" w:rsidRDefault="00A56F6E" w:rsidP="00A56F6E">
            <w:pPr>
              <w:pStyle w:val="EPMHyperlinks"/>
              <w:spacing w:after="60"/>
              <w:rPr>
                <w:b w:val="0"/>
                <w:bCs/>
              </w:rPr>
            </w:pPr>
            <w:hyperlink r:id="rId27" w:history="1">
              <w:r w:rsidR="00B169CA" w:rsidRPr="00A56F6E">
                <w:rPr>
                  <w:rStyle w:val="Hyperlink"/>
                  <w:rFonts w:ascii="Avenir Next LT Pro" w:hAnsi="Avenir Next LT Pro"/>
                  <w:b w:val="0"/>
                  <w:bCs/>
                  <w:color w:val="26529E"/>
                </w:rPr>
                <w:t>Green Book: National Agreement on Pay and Conditions of Service - EPM</w:t>
              </w:r>
            </w:hyperlink>
          </w:p>
        </w:tc>
      </w:tr>
    </w:tbl>
    <w:p w14:paraId="0BC50DD8" w14:textId="21B0DBE1" w:rsidR="00D256DA" w:rsidRDefault="00D256DA" w:rsidP="00763D8B">
      <w:pPr>
        <w:rPr>
          <w:rFonts w:cs="Arial"/>
          <w:sz w:val="21"/>
          <w:szCs w:val="20"/>
        </w:rPr>
      </w:pPr>
    </w:p>
    <w:p w14:paraId="18F01A5C" w14:textId="4E300A2C" w:rsidR="003420EF" w:rsidRDefault="003420EF" w:rsidP="00763D8B">
      <w:pPr>
        <w:rPr>
          <w:rFonts w:cs="Arial"/>
          <w:sz w:val="21"/>
          <w:szCs w:val="20"/>
        </w:rPr>
      </w:pPr>
    </w:p>
    <w:p w14:paraId="24031027" w14:textId="77777777" w:rsidR="003420EF" w:rsidRPr="00763D8B" w:rsidRDefault="003420EF" w:rsidP="00763D8B">
      <w:pPr>
        <w:rPr>
          <w:rFonts w:cs="Arial"/>
          <w:sz w:val="21"/>
          <w:szCs w:val="20"/>
        </w:rPr>
      </w:pPr>
    </w:p>
    <w:p w14:paraId="21C60B51" w14:textId="77777777" w:rsidR="00116B7E" w:rsidRDefault="00116B7E" w:rsidP="006A44CE">
      <w:pPr>
        <w:pStyle w:val="EPMBullets"/>
        <w:numPr>
          <w:ilvl w:val="0"/>
          <w:numId w:val="0"/>
        </w:numPr>
        <w:ind w:left="720" w:hanging="720"/>
      </w:pPr>
    </w:p>
    <w:p w14:paraId="4DECF5C4" w14:textId="13077FFF" w:rsidR="004D537E" w:rsidRPr="007E7572" w:rsidRDefault="004D537E" w:rsidP="006A44CE">
      <w:pPr>
        <w:pStyle w:val="EPMBullets"/>
        <w:numPr>
          <w:ilvl w:val="0"/>
          <w:numId w:val="0"/>
        </w:numPr>
        <w:ind w:left="720" w:hanging="720"/>
        <w:sectPr w:rsidR="004D537E" w:rsidRPr="007E7572" w:rsidSect="005F48DA">
          <w:pgSz w:w="11906" w:h="16838"/>
          <w:pgMar w:top="1134" w:right="1021" w:bottom="851" w:left="1021" w:header="709" w:footer="544" w:gutter="0"/>
          <w:cols w:space="708"/>
          <w:docGrid w:linePitch="360"/>
        </w:sectPr>
      </w:pPr>
    </w:p>
    <w:p w14:paraId="76D75E26" w14:textId="77777777" w:rsidR="008379A5" w:rsidRPr="007E7572" w:rsidRDefault="008379A5" w:rsidP="00EB113B">
      <w:pPr>
        <w:pStyle w:val="EPMBullets"/>
        <w:numPr>
          <w:ilvl w:val="0"/>
          <w:numId w:val="0"/>
        </w:numPr>
        <w:ind w:left="720"/>
      </w:pPr>
    </w:p>
    <w:sectPr w:rsidR="008379A5" w:rsidRPr="007E7572" w:rsidSect="00666C8A">
      <w:headerReference w:type="default" r:id="rId28"/>
      <w:footerReference w:type="default" r:id="rId29"/>
      <w:pgSz w:w="11906" w:h="16838"/>
      <w:pgMar w:top="2842"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9882F" w14:textId="77777777" w:rsidR="00604094" w:rsidRDefault="00604094" w:rsidP="002C1565">
      <w:r>
        <w:separator/>
      </w:r>
    </w:p>
  </w:endnote>
  <w:endnote w:type="continuationSeparator" w:id="0">
    <w:p w14:paraId="2576F3D1" w14:textId="77777777" w:rsidR="00604094" w:rsidRDefault="00604094" w:rsidP="002C1565">
      <w:r>
        <w:continuationSeparator/>
      </w:r>
    </w:p>
  </w:endnote>
  <w:endnote w:type="continuationNotice" w:id="1">
    <w:p w14:paraId="65C2D9CF" w14:textId="77777777" w:rsidR="00B52414" w:rsidRDefault="00B52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29693"/>
      <w:docPartObj>
        <w:docPartGallery w:val="Page Numbers (Bottom of Page)"/>
        <w:docPartUnique/>
      </w:docPartObj>
    </w:sdtPr>
    <w:sdtEndPr>
      <w:rPr>
        <w:noProof/>
        <w:sz w:val="16"/>
        <w:szCs w:val="16"/>
      </w:rPr>
    </w:sdtEndPr>
    <w:sdtContent>
      <w:p w14:paraId="25F3DBFF" w14:textId="77777777" w:rsidR="00DD7009" w:rsidRPr="00B3029C" w:rsidRDefault="00DD7009" w:rsidP="00B3029C">
        <w:pPr>
          <w:pStyle w:val="Footer"/>
          <w:rPr>
            <w:sz w:val="16"/>
            <w:szCs w:val="16"/>
          </w:rPr>
        </w:pPr>
        <w:r w:rsidRPr="00B3029C">
          <w:rPr>
            <w:sz w:val="16"/>
            <w:szCs w:val="16"/>
          </w:rPr>
          <w:fldChar w:fldCharType="begin"/>
        </w:r>
        <w:r w:rsidRPr="00B3029C">
          <w:rPr>
            <w:sz w:val="16"/>
            <w:szCs w:val="16"/>
          </w:rPr>
          <w:instrText xml:space="preserve"> PAGE   \* MERGEFORMAT </w:instrText>
        </w:r>
        <w:r w:rsidRPr="00B3029C">
          <w:rPr>
            <w:sz w:val="16"/>
            <w:szCs w:val="16"/>
          </w:rPr>
          <w:fldChar w:fldCharType="separate"/>
        </w:r>
        <w:r w:rsidRPr="00B3029C">
          <w:rPr>
            <w:noProof/>
            <w:sz w:val="16"/>
            <w:szCs w:val="16"/>
          </w:rPr>
          <w:t>2</w:t>
        </w:r>
        <w:r w:rsidRPr="00B3029C">
          <w:rPr>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color w:val="242E55"/>
      </w:rPr>
    </w:sdtEndPr>
    <w:sdtContent>
      <w:p w14:paraId="75FBF2F7" w14:textId="77777777" w:rsidR="00D55A17" w:rsidRPr="007E7572" w:rsidRDefault="00D55A17" w:rsidP="000D26FC">
        <w:pPr>
          <w:framePr w:w="202" w:h="240" w:hRule="exact" w:wrap="none" w:vAnchor="text" w:hAnchor="page" w:x="1006" w:yAlign="top"/>
          <w:rPr>
            <w:rStyle w:val="PageNumber"/>
            <w:rFonts w:cs="Arial"/>
            <w:sz w:val="16"/>
            <w:szCs w:val="16"/>
          </w:rPr>
        </w:pPr>
        <w:r w:rsidRPr="007E7572">
          <w:rPr>
            <w:rStyle w:val="PageNumber"/>
            <w:rFonts w:cs="Arial"/>
            <w:sz w:val="16"/>
            <w:szCs w:val="16"/>
          </w:rPr>
          <w:fldChar w:fldCharType="begin"/>
        </w:r>
        <w:r w:rsidRPr="007E7572">
          <w:rPr>
            <w:rStyle w:val="PageNumber"/>
            <w:rFonts w:cs="Arial"/>
            <w:sz w:val="16"/>
            <w:szCs w:val="16"/>
          </w:rPr>
          <w:instrText xml:space="preserve"> PAGE </w:instrText>
        </w:r>
        <w:r w:rsidRPr="007E7572">
          <w:rPr>
            <w:rStyle w:val="PageNumber"/>
            <w:rFonts w:cs="Arial"/>
            <w:sz w:val="16"/>
            <w:szCs w:val="16"/>
          </w:rPr>
          <w:fldChar w:fldCharType="separate"/>
        </w:r>
        <w:r w:rsidRPr="007E7572">
          <w:rPr>
            <w:rStyle w:val="PageNumber"/>
            <w:rFonts w:cs="Arial"/>
            <w:noProof/>
            <w:sz w:val="16"/>
            <w:szCs w:val="16"/>
          </w:rPr>
          <w:t>1</w:t>
        </w:r>
        <w:r w:rsidRPr="007E7572">
          <w:rPr>
            <w:rStyle w:val="PageNumber"/>
            <w:rFonts w:cs="Arial"/>
            <w:sz w:val="16"/>
            <w:szCs w:val="16"/>
          </w:rPr>
          <w:fldChar w:fldCharType="end"/>
        </w:r>
      </w:p>
    </w:sdtContent>
  </w:sdt>
  <w:p w14:paraId="5DA4D667" w14:textId="05C16F2F" w:rsidR="00D55A17" w:rsidRPr="003E3987" w:rsidRDefault="00D55A17" w:rsidP="00C91E4C">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87FC" w14:textId="6FB0B2FA" w:rsidR="00F13DD1" w:rsidRPr="007E7572" w:rsidRDefault="007E7572" w:rsidP="00F13DD1">
    <w:pPr>
      <w:tabs>
        <w:tab w:val="left" w:pos="198"/>
        <w:tab w:val="left" w:pos="8080"/>
      </w:tabs>
      <w:snapToGrid w:val="0"/>
      <w:rPr>
        <w:rFonts w:cs="Arial"/>
        <w:b/>
        <w:bCs/>
        <w:color w:val="00004F"/>
        <w:sz w:val="16"/>
        <w:szCs w:val="16"/>
      </w:rPr>
    </w:pPr>
    <w:r>
      <w:rPr>
        <w:rFonts w:cs="Arial"/>
        <w:noProof/>
      </w:rPr>
      <w:drawing>
        <wp:anchor distT="0" distB="0" distL="114300" distR="114300" simplePos="0" relativeHeight="251658240" behindDoc="0" locked="0" layoutInCell="1" allowOverlap="1" wp14:anchorId="19BBFE21" wp14:editId="6FED85AE">
          <wp:simplePos x="0" y="0"/>
          <wp:positionH relativeFrom="column">
            <wp:posOffset>-635</wp:posOffset>
          </wp:positionH>
          <wp:positionV relativeFrom="paragraph">
            <wp:posOffset>-944245</wp:posOffset>
          </wp:positionV>
          <wp:extent cx="1299210" cy="643631"/>
          <wp:effectExtent l="0" t="0" r="0" b="444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210" cy="643631"/>
                  </a:xfrm>
                  <a:prstGeom prst="rect">
                    <a:avLst/>
                  </a:prstGeom>
                </pic:spPr>
              </pic:pic>
            </a:graphicData>
          </a:graphic>
          <wp14:sizeRelH relativeFrom="margin">
            <wp14:pctWidth>0</wp14:pctWidth>
          </wp14:sizeRelH>
          <wp14:sizeRelV relativeFrom="margin">
            <wp14:pctHeight>0</wp14:pctHeight>
          </wp14:sizeRelV>
        </wp:anchor>
      </w:drawing>
    </w:r>
    <w:r w:rsidR="00A85732" w:rsidRPr="007E7572">
      <w:rPr>
        <w:rFonts w:cs="Arial"/>
        <w:b/>
        <w:bCs/>
        <w:color w:val="00004F"/>
        <w:sz w:val="16"/>
        <w:szCs w:val="16"/>
      </w:rPr>
      <w:t>South</w:t>
    </w:r>
    <w:r w:rsidR="00F13DD1" w:rsidRPr="007E7572">
      <w:rPr>
        <w:rFonts w:cs="Arial"/>
        <w:b/>
        <w:bCs/>
        <w:color w:val="00004F"/>
        <w:sz w:val="16"/>
        <w:szCs w:val="16"/>
      </w:rPr>
      <w:t xml:space="preserve"> Office</w:t>
    </w:r>
  </w:p>
  <w:p w14:paraId="2372ADA2" w14:textId="4CC3AB4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St Johns House</w:t>
    </w:r>
  </w:p>
  <w:p w14:paraId="017BE697" w14:textId="53BF6BEC"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Spitfire Close</w:t>
    </w:r>
  </w:p>
  <w:p w14:paraId="0949CDF4"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Ermine Business Park</w:t>
    </w:r>
  </w:p>
  <w:p w14:paraId="6F6ECBBA"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Huntingdon</w:t>
    </w:r>
  </w:p>
  <w:p w14:paraId="088A8BDB"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Cambridgeshire</w:t>
    </w:r>
  </w:p>
  <w:p w14:paraId="4624145E" w14:textId="56B8CC4B" w:rsidR="00F13DD1" w:rsidRPr="007E7572" w:rsidRDefault="00F13DD1" w:rsidP="00F13DD1">
    <w:pPr>
      <w:tabs>
        <w:tab w:val="left" w:pos="198"/>
        <w:tab w:val="left" w:pos="8080"/>
      </w:tabs>
      <w:snapToGrid w:val="0"/>
      <w:spacing w:after="120"/>
      <w:rPr>
        <w:rFonts w:cs="Arial"/>
        <w:color w:val="00004F"/>
        <w:sz w:val="16"/>
        <w:szCs w:val="16"/>
      </w:rPr>
    </w:pPr>
    <w:r w:rsidRPr="007E7572">
      <w:rPr>
        <w:rFonts w:cs="Arial"/>
        <w:color w:val="00004F"/>
        <w:sz w:val="16"/>
        <w:szCs w:val="16"/>
      </w:rPr>
      <w:t>PE29 6EP</w:t>
    </w:r>
  </w:p>
  <w:p w14:paraId="712E42BF" w14:textId="46358E80" w:rsidR="00F13DD1" w:rsidRPr="007E7572" w:rsidRDefault="00F13DD1" w:rsidP="00F13DD1">
    <w:pPr>
      <w:tabs>
        <w:tab w:val="left" w:pos="198"/>
        <w:tab w:val="left" w:pos="8080"/>
      </w:tabs>
      <w:snapToGrid w:val="0"/>
      <w:rPr>
        <w:rFonts w:cs="Arial"/>
        <w:b/>
        <w:bCs/>
        <w:color w:val="00004F"/>
        <w:sz w:val="16"/>
        <w:szCs w:val="16"/>
      </w:rPr>
    </w:pPr>
    <w:r w:rsidRPr="007E7572">
      <w:rPr>
        <w:rFonts w:cs="Arial"/>
        <w:b/>
        <w:bCs/>
        <w:color w:val="00004F"/>
        <w:sz w:val="16"/>
        <w:szCs w:val="16"/>
      </w:rPr>
      <w:t>North Office</w:t>
    </w:r>
  </w:p>
  <w:p w14:paraId="16C3891C" w14:textId="1C2EF8C0"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21 Parsons Court</w:t>
    </w:r>
  </w:p>
  <w:p w14:paraId="666FA40D" w14:textId="0BFBFC05" w:rsidR="00F13DD1" w:rsidRPr="007E7572" w:rsidRDefault="00F13DD1" w:rsidP="00F13DD1">
    <w:pPr>
      <w:tabs>
        <w:tab w:val="left" w:pos="198"/>
        <w:tab w:val="left" w:pos="8080"/>
      </w:tabs>
      <w:snapToGrid w:val="0"/>
      <w:rPr>
        <w:rFonts w:cs="Arial"/>
        <w:color w:val="00004F"/>
        <w:sz w:val="16"/>
        <w:szCs w:val="16"/>
      </w:rPr>
    </w:pPr>
    <w:proofErr w:type="spellStart"/>
    <w:r w:rsidRPr="007E7572">
      <w:rPr>
        <w:rFonts w:cs="Arial"/>
        <w:color w:val="00004F"/>
        <w:sz w:val="16"/>
        <w:szCs w:val="16"/>
      </w:rPr>
      <w:t>Welbury</w:t>
    </w:r>
    <w:proofErr w:type="spellEnd"/>
    <w:r w:rsidRPr="007E7572">
      <w:rPr>
        <w:rFonts w:cs="Arial"/>
        <w:color w:val="00004F"/>
        <w:sz w:val="16"/>
        <w:szCs w:val="16"/>
      </w:rPr>
      <w:t xml:space="preserve"> Way</w:t>
    </w:r>
  </w:p>
  <w:p w14:paraId="63F57F5B" w14:textId="77777777" w:rsidR="00F13DD1" w:rsidRPr="007E7572" w:rsidRDefault="00F13DD1" w:rsidP="00F13DD1">
    <w:pPr>
      <w:tabs>
        <w:tab w:val="left" w:pos="198"/>
        <w:tab w:val="left" w:pos="8080"/>
      </w:tabs>
      <w:snapToGrid w:val="0"/>
      <w:rPr>
        <w:rFonts w:cs="Arial"/>
        <w:color w:val="00004F"/>
        <w:sz w:val="16"/>
        <w:szCs w:val="16"/>
        <w:lang w:val="de-DE"/>
      </w:rPr>
    </w:pPr>
    <w:r w:rsidRPr="007E7572">
      <w:rPr>
        <w:rFonts w:cs="Arial"/>
        <w:color w:val="00004F"/>
        <w:sz w:val="16"/>
        <w:szCs w:val="16"/>
        <w:lang w:val="de-DE"/>
      </w:rPr>
      <w:t>Newton Aycliffe</w:t>
    </w:r>
  </w:p>
  <w:p w14:paraId="5C23B0D4" w14:textId="77777777" w:rsidR="00F13DD1" w:rsidRPr="007E7572" w:rsidRDefault="00F13DD1" w:rsidP="00F13DD1">
    <w:pPr>
      <w:tabs>
        <w:tab w:val="left" w:pos="198"/>
        <w:tab w:val="left" w:pos="8080"/>
      </w:tabs>
      <w:snapToGrid w:val="0"/>
      <w:spacing w:after="120"/>
      <w:rPr>
        <w:rFonts w:cs="Arial"/>
        <w:color w:val="00004F"/>
        <w:sz w:val="16"/>
        <w:szCs w:val="16"/>
        <w:lang w:val="de-DE"/>
      </w:rPr>
    </w:pPr>
    <w:r w:rsidRPr="007E7572">
      <w:rPr>
        <w:rFonts w:cs="Arial"/>
        <w:color w:val="00004F"/>
        <w:sz w:val="16"/>
        <w:szCs w:val="16"/>
        <w:lang w:val="de-DE"/>
      </w:rPr>
      <w:t>DL5 6ZE.</w:t>
    </w:r>
  </w:p>
  <w:p w14:paraId="6043AEFF" w14:textId="77777777" w:rsidR="00F13DD1" w:rsidRPr="007E7572" w:rsidRDefault="00F13DD1" w:rsidP="00F13DD1">
    <w:pPr>
      <w:tabs>
        <w:tab w:val="left" w:pos="198"/>
        <w:tab w:val="left" w:pos="8080"/>
        <w:tab w:val="right" w:pos="9639"/>
      </w:tabs>
      <w:snapToGrid w:val="0"/>
      <w:rPr>
        <w:rFonts w:cs="Arial"/>
        <w:color w:val="00004F"/>
        <w:sz w:val="16"/>
        <w:szCs w:val="16"/>
        <w:lang w:val="de-DE"/>
      </w:rPr>
    </w:pPr>
    <w:r w:rsidRPr="007E7572">
      <w:rPr>
        <w:rFonts w:cs="Arial"/>
        <w:b/>
        <w:bCs/>
        <w:color w:val="00004F"/>
        <w:sz w:val="16"/>
        <w:szCs w:val="16"/>
        <w:lang w:val="de-DE"/>
      </w:rPr>
      <w:t>T:</w:t>
    </w:r>
    <w:r w:rsidRPr="007E7572">
      <w:rPr>
        <w:rFonts w:cs="Arial"/>
        <w:color w:val="00004F"/>
        <w:sz w:val="16"/>
        <w:szCs w:val="16"/>
        <w:lang w:val="de-DE"/>
      </w:rPr>
      <w:t xml:space="preserve">  01480 431993</w:t>
    </w:r>
  </w:p>
  <w:p w14:paraId="73BBD8EA" w14:textId="77777777" w:rsidR="00F13DD1" w:rsidRPr="007E7572" w:rsidRDefault="00F13DD1" w:rsidP="00F13DD1">
    <w:pPr>
      <w:tabs>
        <w:tab w:val="left" w:pos="198"/>
        <w:tab w:val="left" w:pos="8080"/>
        <w:tab w:val="right" w:pos="9639"/>
      </w:tabs>
      <w:snapToGrid w:val="0"/>
      <w:spacing w:after="120"/>
      <w:rPr>
        <w:rFonts w:cs="Arial"/>
        <w:color w:val="00004F"/>
        <w:sz w:val="16"/>
        <w:szCs w:val="16"/>
      </w:rPr>
    </w:pPr>
    <w:r w:rsidRPr="007E7572">
      <w:rPr>
        <w:rFonts w:cs="Arial"/>
        <w:b/>
        <w:bCs/>
        <w:color w:val="00004F"/>
        <w:sz w:val="16"/>
        <w:szCs w:val="16"/>
      </w:rPr>
      <w:t>E:</w:t>
    </w:r>
    <w:r w:rsidRPr="007E7572">
      <w:rPr>
        <w:rFonts w:cs="Arial"/>
        <w:color w:val="00004F"/>
        <w:sz w:val="16"/>
        <w:szCs w:val="16"/>
      </w:rPr>
      <w:t xml:space="preserve">  </w:t>
    </w:r>
    <w:hyperlink r:id="rId2" w:history="1">
      <w:r w:rsidRPr="000C4197">
        <w:rPr>
          <w:rStyle w:val="Hyperlink"/>
          <w:rFonts w:cs="Arial"/>
          <w:color w:val="242E54"/>
          <w:sz w:val="16"/>
          <w:szCs w:val="16"/>
        </w:rPr>
        <w:t>epm@epm.co.uk</w:t>
      </w:r>
    </w:hyperlink>
  </w:p>
  <w:p w14:paraId="31FBE778" w14:textId="22844B6C" w:rsidR="00F13DD1" w:rsidRPr="007E7572" w:rsidRDefault="00F13DD1" w:rsidP="00F13DD1">
    <w:pPr>
      <w:tabs>
        <w:tab w:val="left" w:pos="198"/>
        <w:tab w:val="left" w:pos="8080"/>
        <w:tab w:val="right" w:pos="9639"/>
      </w:tabs>
      <w:snapToGrid w:val="0"/>
      <w:rPr>
        <w:rFonts w:cs="Arial"/>
        <w:color w:val="00004F"/>
        <w:sz w:val="16"/>
        <w:szCs w:val="16"/>
      </w:rPr>
    </w:pPr>
    <w:r w:rsidRPr="007E7572">
      <w:rPr>
        <w:rFonts w:cs="Arial"/>
        <w:b/>
        <w:bCs/>
        <w:color w:val="00004F"/>
        <w:sz w:val="16"/>
        <w:szCs w:val="16"/>
      </w:rPr>
      <w:t>epm.co.uk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2084C" w14:textId="77777777" w:rsidR="00604094" w:rsidRDefault="00604094" w:rsidP="002C1565">
      <w:r>
        <w:separator/>
      </w:r>
    </w:p>
  </w:footnote>
  <w:footnote w:type="continuationSeparator" w:id="0">
    <w:p w14:paraId="2EAB2043" w14:textId="77777777" w:rsidR="00604094" w:rsidRDefault="00604094" w:rsidP="002C1565">
      <w:r>
        <w:continuationSeparator/>
      </w:r>
    </w:p>
  </w:footnote>
  <w:footnote w:type="continuationNotice" w:id="1">
    <w:p w14:paraId="45B777F9" w14:textId="77777777" w:rsidR="00B52414" w:rsidRDefault="00B52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182C" w14:textId="77777777" w:rsidR="00DD7009" w:rsidRPr="00274850" w:rsidRDefault="00DD7009" w:rsidP="00274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FF24" w14:textId="16D9CF8F" w:rsidR="00D55A17" w:rsidRDefault="00D55A17"/>
  <w:p w14:paraId="5C52F500" w14:textId="77777777" w:rsidR="007E7572" w:rsidRDefault="007E75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4B6EDC37"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197E5B4A"/>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B7FE1AD8"/>
    <w:lvl w:ilvl="0" w:tplc="288272F0">
      <w:start w:val="1"/>
      <w:numFmt w:val="decimal"/>
      <w:pStyle w:val="EPMNumberedcopy"/>
      <w:lvlText w:val="%1."/>
      <w:lvlJc w:val="left"/>
      <w:pPr>
        <w:ind w:left="360" w:hanging="360"/>
      </w:pPr>
      <w:rPr>
        <w:rFonts w:asciiTheme="minorHAnsi" w:hAnsiTheme="minorHAnsi" w:hint="default"/>
        <w:b w:val="0"/>
        <w:i w:val="0"/>
        <w:color w:val="A415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BC32FB7"/>
    <w:multiLevelType w:val="hybridMultilevel"/>
    <w:tmpl w:val="ED30E044"/>
    <w:lvl w:ilvl="0" w:tplc="20549156">
      <w:start w:val="1"/>
      <w:numFmt w:val="decimal"/>
      <w:pStyle w:val="Numberedsubheading"/>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09547A"/>
    <w:multiLevelType w:val="hybridMultilevel"/>
    <w:tmpl w:val="2B4697E2"/>
    <w:lvl w:ilvl="0" w:tplc="1ECCB850">
      <w:start w:val="21"/>
      <w:numFmt w:val="bullet"/>
      <w:pStyle w:val="EPMBullets"/>
      <w:lvlText w:val="•"/>
      <w:lvlJc w:val="left"/>
      <w:pPr>
        <w:ind w:left="720" w:hanging="360"/>
      </w:pPr>
      <w:rPr>
        <w:rFonts w:ascii="Calibri" w:eastAsiaTheme="minorHAnsi" w:hAnsi="Calibri" w:cs="Calibri"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74540528">
    <w:abstractNumId w:val="9"/>
  </w:num>
  <w:num w:numId="2" w16cid:durableId="1364211866">
    <w:abstractNumId w:val="4"/>
  </w:num>
  <w:num w:numId="3" w16cid:durableId="603729848">
    <w:abstractNumId w:val="11"/>
  </w:num>
  <w:num w:numId="4" w16cid:durableId="773355512">
    <w:abstractNumId w:val="3"/>
  </w:num>
  <w:num w:numId="5" w16cid:durableId="1759406275">
    <w:abstractNumId w:val="10"/>
  </w:num>
  <w:num w:numId="6" w16cid:durableId="241258015">
    <w:abstractNumId w:val="1"/>
  </w:num>
  <w:num w:numId="7" w16cid:durableId="1267693963">
    <w:abstractNumId w:val="12"/>
  </w:num>
  <w:num w:numId="8" w16cid:durableId="14431850">
    <w:abstractNumId w:val="6"/>
  </w:num>
  <w:num w:numId="9" w16cid:durableId="14967319">
    <w:abstractNumId w:val="2"/>
  </w:num>
  <w:num w:numId="10" w16cid:durableId="1462842165">
    <w:abstractNumId w:val="8"/>
  </w:num>
  <w:num w:numId="11" w16cid:durableId="1658027920">
    <w:abstractNumId w:val="7"/>
  </w:num>
  <w:num w:numId="12" w16cid:durableId="169949997">
    <w:abstractNumId w:val="0"/>
  </w:num>
  <w:num w:numId="13" w16cid:durableId="1393456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QUAPtyZpSwAAAA="/>
  </w:docVars>
  <w:rsids>
    <w:rsidRoot w:val="002C1565"/>
    <w:rsid w:val="00003F42"/>
    <w:rsid w:val="00005427"/>
    <w:rsid w:val="000060D0"/>
    <w:rsid w:val="00011344"/>
    <w:rsid w:val="0001639B"/>
    <w:rsid w:val="00016CAF"/>
    <w:rsid w:val="00027CEB"/>
    <w:rsid w:val="00035A22"/>
    <w:rsid w:val="000469C1"/>
    <w:rsid w:val="00050126"/>
    <w:rsid w:val="000516BA"/>
    <w:rsid w:val="000552AE"/>
    <w:rsid w:val="00070AA6"/>
    <w:rsid w:val="00070BC7"/>
    <w:rsid w:val="00084603"/>
    <w:rsid w:val="00093216"/>
    <w:rsid w:val="00097C60"/>
    <w:rsid w:val="000A68CD"/>
    <w:rsid w:val="000C22E2"/>
    <w:rsid w:val="000C3D4D"/>
    <w:rsid w:val="000C4197"/>
    <w:rsid w:val="000C550A"/>
    <w:rsid w:val="000C7EAD"/>
    <w:rsid w:val="000D26FC"/>
    <w:rsid w:val="000D5656"/>
    <w:rsid w:val="000E3000"/>
    <w:rsid w:val="000E4292"/>
    <w:rsid w:val="000E74DD"/>
    <w:rsid w:val="000F2D2C"/>
    <w:rsid w:val="000F4854"/>
    <w:rsid w:val="00105E6D"/>
    <w:rsid w:val="00110BD2"/>
    <w:rsid w:val="00116B7E"/>
    <w:rsid w:val="001372BA"/>
    <w:rsid w:val="00141DF9"/>
    <w:rsid w:val="0015282E"/>
    <w:rsid w:val="00152B97"/>
    <w:rsid w:val="00160C0C"/>
    <w:rsid w:val="0017047C"/>
    <w:rsid w:val="00177F73"/>
    <w:rsid w:val="00182616"/>
    <w:rsid w:val="0019636F"/>
    <w:rsid w:val="001A088F"/>
    <w:rsid w:val="001A2AC8"/>
    <w:rsid w:val="001A2D28"/>
    <w:rsid w:val="001C2417"/>
    <w:rsid w:val="001C5D32"/>
    <w:rsid w:val="001F1A2A"/>
    <w:rsid w:val="001F67F6"/>
    <w:rsid w:val="001F77EA"/>
    <w:rsid w:val="00201B6A"/>
    <w:rsid w:val="00211462"/>
    <w:rsid w:val="00211B0E"/>
    <w:rsid w:val="002413F4"/>
    <w:rsid w:val="00242A77"/>
    <w:rsid w:val="00245221"/>
    <w:rsid w:val="00245ACB"/>
    <w:rsid w:val="002534E1"/>
    <w:rsid w:val="00281C6C"/>
    <w:rsid w:val="002831F4"/>
    <w:rsid w:val="0029123A"/>
    <w:rsid w:val="002933BD"/>
    <w:rsid w:val="00294029"/>
    <w:rsid w:val="00297E29"/>
    <w:rsid w:val="002C1565"/>
    <w:rsid w:val="002D4A9C"/>
    <w:rsid w:val="002E3B54"/>
    <w:rsid w:val="002F6DED"/>
    <w:rsid w:val="00301F50"/>
    <w:rsid w:val="00304673"/>
    <w:rsid w:val="0033140E"/>
    <w:rsid w:val="00333FB0"/>
    <w:rsid w:val="003420EF"/>
    <w:rsid w:val="00355D2D"/>
    <w:rsid w:val="00366CF6"/>
    <w:rsid w:val="0037093C"/>
    <w:rsid w:val="00381344"/>
    <w:rsid w:val="00381505"/>
    <w:rsid w:val="003B6929"/>
    <w:rsid w:val="003E3987"/>
    <w:rsid w:val="003F2B88"/>
    <w:rsid w:val="00407931"/>
    <w:rsid w:val="00411C71"/>
    <w:rsid w:val="00421226"/>
    <w:rsid w:val="00421BB3"/>
    <w:rsid w:val="00432C7B"/>
    <w:rsid w:val="00436A9B"/>
    <w:rsid w:val="00436BCB"/>
    <w:rsid w:val="00440E43"/>
    <w:rsid w:val="00447405"/>
    <w:rsid w:val="004651D2"/>
    <w:rsid w:val="00476B5F"/>
    <w:rsid w:val="00490900"/>
    <w:rsid w:val="004A3A16"/>
    <w:rsid w:val="004B06D6"/>
    <w:rsid w:val="004B29BE"/>
    <w:rsid w:val="004B47B7"/>
    <w:rsid w:val="004C1CAE"/>
    <w:rsid w:val="004C6192"/>
    <w:rsid w:val="004C7329"/>
    <w:rsid w:val="004D537E"/>
    <w:rsid w:val="004E2C9B"/>
    <w:rsid w:val="004E7BA0"/>
    <w:rsid w:val="0050036F"/>
    <w:rsid w:val="0050081E"/>
    <w:rsid w:val="0051619C"/>
    <w:rsid w:val="00535099"/>
    <w:rsid w:val="00540F40"/>
    <w:rsid w:val="005433E4"/>
    <w:rsid w:val="00547D8D"/>
    <w:rsid w:val="0055777F"/>
    <w:rsid w:val="00564E1B"/>
    <w:rsid w:val="005857CF"/>
    <w:rsid w:val="00590B89"/>
    <w:rsid w:val="005D5F6C"/>
    <w:rsid w:val="005E3053"/>
    <w:rsid w:val="005E3AE2"/>
    <w:rsid w:val="005E4357"/>
    <w:rsid w:val="005E5ADD"/>
    <w:rsid w:val="005F2D2D"/>
    <w:rsid w:val="005F48DA"/>
    <w:rsid w:val="005F4A9C"/>
    <w:rsid w:val="006032A2"/>
    <w:rsid w:val="00604094"/>
    <w:rsid w:val="00604313"/>
    <w:rsid w:val="00616593"/>
    <w:rsid w:val="00642B63"/>
    <w:rsid w:val="006557A3"/>
    <w:rsid w:val="00657D06"/>
    <w:rsid w:val="006601A2"/>
    <w:rsid w:val="00666C8A"/>
    <w:rsid w:val="0067186A"/>
    <w:rsid w:val="00681551"/>
    <w:rsid w:val="006A44CE"/>
    <w:rsid w:val="006A7BC7"/>
    <w:rsid w:val="006B21DC"/>
    <w:rsid w:val="006B6B67"/>
    <w:rsid w:val="006E423F"/>
    <w:rsid w:val="006E4EF2"/>
    <w:rsid w:val="006F0BEE"/>
    <w:rsid w:val="00710AB0"/>
    <w:rsid w:val="007271F1"/>
    <w:rsid w:val="007527F3"/>
    <w:rsid w:val="00755DB9"/>
    <w:rsid w:val="00756C21"/>
    <w:rsid w:val="00763D8B"/>
    <w:rsid w:val="0077514E"/>
    <w:rsid w:val="00783531"/>
    <w:rsid w:val="0078680D"/>
    <w:rsid w:val="007C3693"/>
    <w:rsid w:val="007D1046"/>
    <w:rsid w:val="007E2FF9"/>
    <w:rsid w:val="007E7572"/>
    <w:rsid w:val="00813101"/>
    <w:rsid w:val="008165DC"/>
    <w:rsid w:val="00816ACA"/>
    <w:rsid w:val="008379A5"/>
    <w:rsid w:val="00854B92"/>
    <w:rsid w:val="008566A6"/>
    <w:rsid w:val="00860FF3"/>
    <w:rsid w:val="00861E9C"/>
    <w:rsid w:val="00871A61"/>
    <w:rsid w:val="008732AA"/>
    <w:rsid w:val="008931FD"/>
    <w:rsid w:val="0089463B"/>
    <w:rsid w:val="0089717B"/>
    <w:rsid w:val="00897ED5"/>
    <w:rsid w:val="008A4EF3"/>
    <w:rsid w:val="008A5EFC"/>
    <w:rsid w:val="008A6D32"/>
    <w:rsid w:val="008C0364"/>
    <w:rsid w:val="008F138F"/>
    <w:rsid w:val="008F1ABC"/>
    <w:rsid w:val="00900C4E"/>
    <w:rsid w:val="00903E03"/>
    <w:rsid w:val="00922D59"/>
    <w:rsid w:val="00925343"/>
    <w:rsid w:val="00926B41"/>
    <w:rsid w:val="00931AF6"/>
    <w:rsid w:val="00932C14"/>
    <w:rsid w:val="00933713"/>
    <w:rsid w:val="00940499"/>
    <w:rsid w:val="0094173E"/>
    <w:rsid w:val="00942D0B"/>
    <w:rsid w:val="00945C3A"/>
    <w:rsid w:val="00947D63"/>
    <w:rsid w:val="00967AE7"/>
    <w:rsid w:val="00975D06"/>
    <w:rsid w:val="009802A7"/>
    <w:rsid w:val="00993A49"/>
    <w:rsid w:val="009A218D"/>
    <w:rsid w:val="009A6654"/>
    <w:rsid w:val="009A7AED"/>
    <w:rsid w:val="009D62C5"/>
    <w:rsid w:val="009F46DB"/>
    <w:rsid w:val="009F6387"/>
    <w:rsid w:val="00A10122"/>
    <w:rsid w:val="00A279F2"/>
    <w:rsid w:val="00A319EA"/>
    <w:rsid w:val="00A42D1C"/>
    <w:rsid w:val="00A45EF5"/>
    <w:rsid w:val="00A56814"/>
    <w:rsid w:val="00A56F6E"/>
    <w:rsid w:val="00A6513C"/>
    <w:rsid w:val="00A675C2"/>
    <w:rsid w:val="00A71A35"/>
    <w:rsid w:val="00A7476D"/>
    <w:rsid w:val="00A7502D"/>
    <w:rsid w:val="00A85732"/>
    <w:rsid w:val="00A905D0"/>
    <w:rsid w:val="00A965A0"/>
    <w:rsid w:val="00AA0881"/>
    <w:rsid w:val="00AA51F6"/>
    <w:rsid w:val="00AC141D"/>
    <w:rsid w:val="00AC28AD"/>
    <w:rsid w:val="00AC7A48"/>
    <w:rsid w:val="00AD0DE2"/>
    <w:rsid w:val="00AE2D2C"/>
    <w:rsid w:val="00AE371E"/>
    <w:rsid w:val="00B03004"/>
    <w:rsid w:val="00B0644B"/>
    <w:rsid w:val="00B11FFD"/>
    <w:rsid w:val="00B1216B"/>
    <w:rsid w:val="00B169CA"/>
    <w:rsid w:val="00B16C6E"/>
    <w:rsid w:val="00B305EE"/>
    <w:rsid w:val="00B33BCE"/>
    <w:rsid w:val="00B51318"/>
    <w:rsid w:val="00B52414"/>
    <w:rsid w:val="00B53BDF"/>
    <w:rsid w:val="00B560DE"/>
    <w:rsid w:val="00B66E73"/>
    <w:rsid w:val="00B82A2A"/>
    <w:rsid w:val="00B93939"/>
    <w:rsid w:val="00BA2D0A"/>
    <w:rsid w:val="00BB3C7A"/>
    <w:rsid w:val="00BC7D74"/>
    <w:rsid w:val="00BD195D"/>
    <w:rsid w:val="00C22AB0"/>
    <w:rsid w:val="00C3746F"/>
    <w:rsid w:val="00C41EEF"/>
    <w:rsid w:val="00C569E5"/>
    <w:rsid w:val="00C62CC5"/>
    <w:rsid w:val="00C72AEC"/>
    <w:rsid w:val="00C91E4C"/>
    <w:rsid w:val="00C92092"/>
    <w:rsid w:val="00CC3856"/>
    <w:rsid w:val="00CD1D8B"/>
    <w:rsid w:val="00CD2103"/>
    <w:rsid w:val="00CD780F"/>
    <w:rsid w:val="00CE03BC"/>
    <w:rsid w:val="00CE3DA9"/>
    <w:rsid w:val="00D07678"/>
    <w:rsid w:val="00D07B35"/>
    <w:rsid w:val="00D201BA"/>
    <w:rsid w:val="00D256DA"/>
    <w:rsid w:val="00D31B75"/>
    <w:rsid w:val="00D36274"/>
    <w:rsid w:val="00D42118"/>
    <w:rsid w:val="00D5176C"/>
    <w:rsid w:val="00D51F2A"/>
    <w:rsid w:val="00D55A17"/>
    <w:rsid w:val="00D60B2E"/>
    <w:rsid w:val="00D71D27"/>
    <w:rsid w:val="00D751A3"/>
    <w:rsid w:val="00D818FC"/>
    <w:rsid w:val="00D82370"/>
    <w:rsid w:val="00D96BEF"/>
    <w:rsid w:val="00DA1626"/>
    <w:rsid w:val="00DC27CF"/>
    <w:rsid w:val="00DC28E7"/>
    <w:rsid w:val="00DC4A06"/>
    <w:rsid w:val="00DD4B19"/>
    <w:rsid w:val="00DD4D48"/>
    <w:rsid w:val="00DD7009"/>
    <w:rsid w:val="00DF6ABD"/>
    <w:rsid w:val="00DF7A1F"/>
    <w:rsid w:val="00E0056B"/>
    <w:rsid w:val="00E06FC0"/>
    <w:rsid w:val="00E1213F"/>
    <w:rsid w:val="00E22736"/>
    <w:rsid w:val="00E22B56"/>
    <w:rsid w:val="00E30D8B"/>
    <w:rsid w:val="00E32641"/>
    <w:rsid w:val="00E32680"/>
    <w:rsid w:val="00E36ACB"/>
    <w:rsid w:val="00E40C60"/>
    <w:rsid w:val="00E42491"/>
    <w:rsid w:val="00E56A28"/>
    <w:rsid w:val="00E5723E"/>
    <w:rsid w:val="00E66A6F"/>
    <w:rsid w:val="00E74F31"/>
    <w:rsid w:val="00E757DC"/>
    <w:rsid w:val="00E927FA"/>
    <w:rsid w:val="00EB113B"/>
    <w:rsid w:val="00EB3FB0"/>
    <w:rsid w:val="00EF2A7B"/>
    <w:rsid w:val="00EF68C6"/>
    <w:rsid w:val="00F046AC"/>
    <w:rsid w:val="00F13DD1"/>
    <w:rsid w:val="00F17EA3"/>
    <w:rsid w:val="00F3311D"/>
    <w:rsid w:val="00F3479B"/>
    <w:rsid w:val="00F51696"/>
    <w:rsid w:val="00F532B2"/>
    <w:rsid w:val="00F57585"/>
    <w:rsid w:val="00F66A35"/>
    <w:rsid w:val="00F74733"/>
    <w:rsid w:val="00FB08C8"/>
    <w:rsid w:val="00FB18DB"/>
    <w:rsid w:val="00FB6638"/>
    <w:rsid w:val="00FC1923"/>
    <w:rsid w:val="00FE5B9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D2FEB50D-7561-47DA-9CCF-0D1B91D7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76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B113B"/>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BA2D0A"/>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BA2D0A"/>
    <w:pPr>
      <w:spacing w:after="240" w:line="320" w:lineRule="exact"/>
    </w:pPr>
    <w:rPr>
      <w:rFonts w:ascii="Avenir Next LT Pro Demi" w:hAnsi="Avenir Next LT Pro Demi" w:cs="Arial"/>
      <w:color w:val="242E54"/>
      <w:sz w:val="32"/>
    </w:rPr>
  </w:style>
  <w:style w:type="paragraph" w:customStyle="1" w:styleId="EPMPageTitle">
    <w:name w:val="EPM Page Title"/>
    <w:qFormat/>
    <w:rsid w:val="00BA2D0A"/>
    <w:pPr>
      <w:spacing w:after="200" w:line="720" w:lineRule="exact"/>
    </w:pPr>
    <w:rPr>
      <w:rFonts w:ascii="Avenir Next LT Pro Demi" w:hAnsi="Avenir Next LT Pro Demi" w:cs="Calibri"/>
      <w:sz w:val="72"/>
      <w:szCs w:val="72"/>
    </w:rPr>
  </w:style>
  <w:style w:type="paragraph" w:customStyle="1" w:styleId="EPMNumberedcopy">
    <w:name w:val="EPM Numbered copy"/>
    <w:qFormat/>
    <w:rsid w:val="00EB113B"/>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link w:val="EPMBulletsChar"/>
    <w:qFormat/>
    <w:rsid w:val="00EB113B"/>
    <w:pPr>
      <w:numPr>
        <w:numId w:val="10"/>
      </w:numPr>
      <w:spacing w:before="120" w:after="120"/>
      <w:ind w:hanging="720"/>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EB113B"/>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EPMSubheading2">
    <w:name w:val="EPM Subheading 2"/>
    <w:basedOn w:val="EPMSubheading"/>
    <w:qFormat/>
    <w:rsid w:val="00EB113B"/>
    <w:rPr>
      <w:color w:val="D6034D"/>
      <w:sz w:val="22"/>
      <w:szCs w:val="22"/>
    </w:rPr>
  </w:style>
  <w:style w:type="paragraph" w:customStyle="1" w:styleId="EPMBracket">
    <w:name w:val="EPM Bracket"/>
    <w:basedOn w:val="EPMTextstyle"/>
    <w:link w:val="EPMBracketChar"/>
    <w:qFormat/>
    <w:rsid w:val="00EB113B"/>
    <w:rPr>
      <w:color w:val="218C8C"/>
    </w:rPr>
  </w:style>
  <w:style w:type="paragraph" w:customStyle="1" w:styleId="EPMNumberedHeading">
    <w:name w:val="EPM Numbered Heading"/>
    <w:basedOn w:val="EPMSubheading"/>
    <w:qFormat/>
    <w:rsid w:val="00EB113B"/>
    <w:pPr>
      <w:numPr>
        <w:numId w:val="12"/>
      </w:numPr>
      <w:ind w:left="709" w:hanging="709"/>
    </w:pPr>
    <w:rPr>
      <w:color w:val="242E54"/>
      <w:sz w:val="28"/>
      <w:szCs w:val="28"/>
    </w:rPr>
  </w:style>
  <w:style w:type="character" w:customStyle="1" w:styleId="EPMTextstyleChar">
    <w:name w:val="EPM Text style Char"/>
    <w:basedOn w:val="DefaultParagraphFont"/>
    <w:link w:val="EPMTextstyle"/>
    <w:rsid w:val="00BA2D0A"/>
    <w:rPr>
      <w:rFonts w:ascii="Avenir Next LT Pro" w:hAnsi="Avenir Next LT Pro" w:cs="Arial"/>
      <w:sz w:val="21"/>
      <w:szCs w:val="20"/>
    </w:rPr>
  </w:style>
  <w:style w:type="character" w:customStyle="1" w:styleId="EPMBracketChar">
    <w:name w:val="EPM Bracket Char"/>
    <w:basedOn w:val="EPMTextstyleChar"/>
    <w:link w:val="EPMBracket"/>
    <w:rsid w:val="00EB113B"/>
    <w:rPr>
      <w:rFonts w:ascii="Avenir Next LT Pro" w:hAnsi="Avenir Next LT Pro" w:cs="Arial"/>
      <w:color w:val="218C8C"/>
      <w:sz w:val="21"/>
      <w:szCs w:val="20"/>
    </w:rPr>
  </w:style>
  <w:style w:type="paragraph" w:customStyle="1" w:styleId="EPMSubtitle">
    <w:name w:val="EPM Subtitle"/>
    <w:basedOn w:val="Title"/>
    <w:link w:val="EPMSubtitleChar"/>
    <w:qFormat/>
    <w:rsid w:val="00BA2D0A"/>
    <w:pPr>
      <w:spacing w:before="120" w:line="720" w:lineRule="exact"/>
      <w:contextualSpacing w:val="0"/>
    </w:pPr>
    <w:rPr>
      <w:rFonts w:ascii="Avenir Next LT Pro Demi" w:hAnsi="Avenir Next LT Pro Demi" w:cs="Arial"/>
      <w:noProof/>
      <w:color w:val="A31457"/>
      <w:sz w:val="60"/>
      <w:szCs w:val="60"/>
    </w:rPr>
  </w:style>
  <w:style w:type="character" w:customStyle="1" w:styleId="EPMSubtitleChar">
    <w:name w:val="EPM Subtitle Char"/>
    <w:basedOn w:val="TitleChar"/>
    <w:link w:val="EPMSubtitle"/>
    <w:rsid w:val="00BA2D0A"/>
    <w:rPr>
      <w:rFonts w:ascii="Avenir Next LT Pro Demi" w:eastAsiaTheme="majorEastAsia" w:hAnsi="Avenir Next LT Pro Demi" w:cs="Arial"/>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qFormat/>
    <w:rsid w:val="00EB113B"/>
    <w:pPr>
      <w:numPr>
        <w:ilvl w:val="1"/>
        <w:numId w:val="12"/>
      </w:numPr>
      <w:ind w:left="1418" w:hanging="709"/>
    </w:pPr>
  </w:style>
  <w:style w:type="paragraph" w:customStyle="1" w:styleId="EPMNumberedSubheading2">
    <w:name w:val="EPM Numbered Subheading 2"/>
    <w:basedOn w:val="EPMSubheading"/>
    <w:link w:val="EPMNumberedSubheading2Char"/>
    <w:qFormat/>
    <w:rsid w:val="00EB113B"/>
    <w:pPr>
      <w:numPr>
        <w:ilvl w:val="2"/>
        <w:numId w:val="12"/>
      </w:numPr>
      <w:ind w:left="1843" w:hanging="425"/>
    </w:pPr>
    <w:rPr>
      <w:color w:val="D6034D"/>
      <w:sz w:val="22"/>
      <w:szCs w:val="22"/>
    </w:rPr>
  </w:style>
  <w:style w:type="character" w:customStyle="1" w:styleId="EPMSubheadingChar">
    <w:name w:val="EPM Subheading Char"/>
    <w:basedOn w:val="DefaultParagraphFont"/>
    <w:link w:val="EPMSubheading"/>
    <w:rsid w:val="00EB113B"/>
    <w:rPr>
      <w:rFonts w:ascii="Avenir Next LT Pro Demi" w:hAnsi="Avenir Next LT Pro Demi" w:cs="Arial"/>
      <w:color w:val="A31457"/>
    </w:rPr>
  </w:style>
  <w:style w:type="character" w:customStyle="1" w:styleId="EPMNumberedSubheadingChar">
    <w:name w:val="EPM Numbered Subheading Char"/>
    <w:basedOn w:val="EPMSubheadingChar"/>
    <w:link w:val="EPMNumberedSubheading"/>
    <w:rsid w:val="00EB113B"/>
    <w:rPr>
      <w:rFonts w:ascii="Avenir Next LT Pro Demi" w:hAnsi="Avenir Next LT Pro Demi" w:cs="Arial"/>
      <w:color w:val="A31457"/>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EB113B"/>
    <w:rPr>
      <w:rFonts w:ascii="Avenir Next LT Pro Demi" w:hAnsi="Avenir Next LT Pro Demi" w:cs="Arial"/>
      <w:color w:val="D6034D"/>
      <w:sz w:val="22"/>
      <w:szCs w:val="22"/>
    </w:rPr>
  </w:style>
  <w:style w:type="paragraph" w:customStyle="1" w:styleId="EPMFormText">
    <w:name w:val="EPM Form Text"/>
    <w:basedOn w:val="EPMTextstyle"/>
    <w:link w:val="EPMFormTextChar"/>
    <w:qFormat/>
    <w:rsid w:val="00EB113B"/>
    <w:rPr>
      <w:rFonts w:ascii="Avenir Next LT Pro Demi" w:hAnsi="Avenir Next LT Pro Demi"/>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EB113B"/>
    <w:pPr>
      <w:spacing w:before="60" w:after="60"/>
    </w:pPr>
    <w:rPr>
      <w:rFonts w:ascii="Avenir Next LT Pro Demi" w:hAnsi="Avenir Next LT Pro Demi" w:cs="Arial"/>
      <w:bCs/>
      <w:color w:val="FFFFFF" w:themeColor="background1"/>
      <w:sz w:val="22"/>
      <w:szCs w:val="22"/>
    </w:rPr>
  </w:style>
  <w:style w:type="character" w:customStyle="1" w:styleId="EPMFormTextChar">
    <w:name w:val="EPM Form Text Char"/>
    <w:basedOn w:val="EPMTextstyleChar"/>
    <w:link w:val="EPMFormText"/>
    <w:rsid w:val="00EB113B"/>
    <w:rPr>
      <w:rFonts w:ascii="Avenir Next LT Pro Demi" w:hAnsi="Avenir Next LT Pro Demi" w:cs="Arial"/>
      <w:sz w:val="21"/>
      <w:szCs w:val="20"/>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EB113B"/>
    <w:rPr>
      <w:rFonts w:ascii="Avenir Next LT Pro Demi" w:hAnsi="Avenir Next LT Pro Demi" w:cs="Arial"/>
      <w:bCs/>
      <w:color w:val="FFFFFF" w:themeColor="background1"/>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qFormat/>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styleId="TOC1">
    <w:name w:val="toc 1"/>
    <w:basedOn w:val="Normal"/>
    <w:next w:val="Normal"/>
    <w:autoRedefine/>
    <w:uiPriority w:val="39"/>
    <w:unhideWhenUsed/>
    <w:rsid w:val="000C7EAD"/>
    <w:pPr>
      <w:spacing w:after="100"/>
    </w:pPr>
  </w:style>
  <w:style w:type="paragraph" w:styleId="TOC2">
    <w:name w:val="toc 2"/>
    <w:basedOn w:val="Normal"/>
    <w:next w:val="Normal"/>
    <w:autoRedefine/>
    <w:uiPriority w:val="39"/>
    <w:unhideWhenUsed/>
    <w:rsid w:val="000C7EAD"/>
    <w:pPr>
      <w:spacing w:after="100"/>
      <w:ind w:left="240"/>
    </w:pPr>
  </w:style>
  <w:style w:type="paragraph" w:customStyle="1" w:styleId="Numberedsubheading">
    <w:name w:val="Numbered subheading"/>
    <w:basedOn w:val="EPMSubheading"/>
    <w:link w:val="NumberedsubheadingChar"/>
    <w:qFormat/>
    <w:rsid w:val="00A675C2"/>
    <w:pPr>
      <w:numPr>
        <w:numId w:val="13"/>
      </w:numPr>
      <w:ind w:left="567" w:hanging="567"/>
    </w:pPr>
    <w:rPr>
      <w:b/>
      <w:bCs/>
    </w:rPr>
  </w:style>
  <w:style w:type="paragraph" w:customStyle="1" w:styleId="Numberedsubheading2">
    <w:name w:val="Numbered subheading 2"/>
    <w:basedOn w:val="EPMSubheading"/>
    <w:link w:val="Numberedsubheading2Char"/>
    <w:qFormat/>
    <w:rsid w:val="00DD7009"/>
    <w:pPr>
      <w:ind w:left="1843" w:hanging="425"/>
    </w:pPr>
    <w:rPr>
      <w:b/>
      <w:bCs/>
      <w:color w:val="D6034D"/>
      <w:sz w:val="22"/>
      <w:szCs w:val="22"/>
    </w:rPr>
  </w:style>
  <w:style w:type="character" w:customStyle="1" w:styleId="NumberedsubheadingChar">
    <w:name w:val="Numbered subheading Char"/>
    <w:basedOn w:val="EPMSubheadingChar"/>
    <w:link w:val="Numberedsubheading"/>
    <w:rsid w:val="00A675C2"/>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D7009"/>
    <w:rPr>
      <w:rFonts w:ascii="Avenir Next LT Pro Demi" w:hAnsi="Avenir Next LT Pro Demi" w:cs="Arial"/>
      <w:b/>
      <w:bCs/>
      <w:color w:val="D6034D"/>
      <w:sz w:val="22"/>
      <w:szCs w:val="22"/>
    </w:rPr>
  </w:style>
  <w:style w:type="paragraph" w:customStyle="1" w:styleId="EPMQuotes">
    <w:name w:val="EPM Quotes"/>
    <w:basedOn w:val="EPMTextstyle"/>
    <w:link w:val="EPMQuotesChar"/>
    <w:qFormat/>
    <w:rsid w:val="00DD7009"/>
    <w:rPr>
      <w:i/>
      <w:iCs/>
    </w:rPr>
  </w:style>
  <w:style w:type="character" w:customStyle="1" w:styleId="EPMQuotesChar">
    <w:name w:val="EPM Quotes Char"/>
    <w:basedOn w:val="EPMTextstyleChar"/>
    <w:link w:val="EPMQuotes"/>
    <w:rsid w:val="00DD7009"/>
    <w:rPr>
      <w:rFonts w:ascii="Avenir Next LT Pro" w:hAnsi="Avenir Next LT Pro" w:cs="Arial"/>
      <w:i/>
      <w:iCs/>
      <w:sz w:val="21"/>
      <w:szCs w:val="20"/>
    </w:rPr>
  </w:style>
  <w:style w:type="paragraph" w:customStyle="1" w:styleId="BulletswithHyperlink">
    <w:name w:val="Bullets with Hyperlink"/>
    <w:basedOn w:val="EPMBullets"/>
    <w:link w:val="BulletswithHyperlinkChar"/>
    <w:qFormat/>
    <w:rsid w:val="00F74733"/>
    <w:pPr>
      <w:tabs>
        <w:tab w:val="clear" w:pos="851"/>
        <w:tab w:val="left" w:pos="993"/>
      </w:tabs>
      <w:ind w:left="1134" w:hanging="425"/>
    </w:pPr>
    <w:rPr>
      <w:color w:val="26529E"/>
    </w:rPr>
  </w:style>
  <w:style w:type="character" w:customStyle="1" w:styleId="EPMBulletsChar">
    <w:name w:val="EPM Bullets Char"/>
    <w:basedOn w:val="EPMTextstyleChar"/>
    <w:link w:val="EPMBullets"/>
    <w:rsid w:val="00F74733"/>
    <w:rPr>
      <w:rFonts w:ascii="Avenir Next LT Pro" w:hAnsi="Avenir Next LT Pro" w:cs="Arial"/>
      <w:sz w:val="21"/>
      <w:szCs w:val="20"/>
    </w:rPr>
  </w:style>
  <w:style w:type="character" w:customStyle="1" w:styleId="BulletswithHyperlinkChar">
    <w:name w:val="Bullets with Hyperlink Char"/>
    <w:basedOn w:val="EPMBulletsChar"/>
    <w:link w:val="BulletswithHyperlink"/>
    <w:rsid w:val="00F74733"/>
    <w:rPr>
      <w:rFonts w:ascii="Avenir Next LT Pro" w:hAnsi="Avenir Next LT Pro" w:cs="Arial"/>
      <w:color w:val="26529E"/>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transfers-takeovers" TargetMode="External"/><Relationship Id="rId26" Type="http://schemas.openxmlformats.org/officeDocument/2006/relationships/hyperlink" Target="https://schools.epm.co.uk/knowledge-bank/stpc/" TargetMode="External"/><Relationship Id="rId3" Type="http://schemas.openxmlformats.org/officeDocument/2006/relationships/customXml" Target="../customXml/item3.xml"/><Relationship Id="rId21" Type="http://schemas.openxmlformats.org/officeDocument/2006/relationships/hyperlink" Target="https://www.gov.uk/government/publications/academy-commercial-transfer-agreemen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academy-commercial-transfer-agreement" TargetMode="External"/><Relationship Id="rId25" Type="http://schemas.openxmlformats.org/officeDocument/2006/relationships/hyperlink" Target="https://schools.epm.co.uk/wp-content/uploads/2022/07/Burgundy-Book-Conditions-of-Service-for-School-Teachers.pdf" TargetMode="External"/><Relationship Id="rId2" Type="http://schemas.openxmlformats.org/officeDocument/2006/relationships/customXml" Target="../customXml/item2.xml"/><Relationship Id="rId16" Type="http://schemas.openxmlformats.org/officeDocument/2006/relationships/hyperlink" Target="https://www.gov.uk/guidance/convert-to-an-academy-information-for-schools" TargetMode="External"/><Relationship Id="rId20" Type="http://schemas.openxmlformats.org/officeDocument/2006/relationships/hyperlink" Target="https://www.gov.uk/guidance/convert-to-an-academy-information-for-school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gov.uk/government/uploads/system/uploads/attachment_data/file/275252/bis-14-502-employment-rights-on-the-transfer-of-an-undertaking.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acas.org.uk/index.aspx?articleid=1655" TargetMode="External"/><Relationship Id="rId27" Type="http://schemas.openxmlformats.org/officeDocument/2006/relationships/hyperlink" Target="https://schools.epm.co.uk/knowledge-bank/green-book-national-agreement-on-pay-and-conditions-of-service/" TargetMode="External"/><Relationship Id="rId30" Type="http://schemas.openxmlformats.org/officeDocument/2006/relationships/fontTable" Target="fontTable.xml"/></Relationships>
</file>

<file path=word/_rels/footer4.xml.rels><?xml version="1.0" encoding="UTF-8" standalone="yes"?>
<Relationships xmlns="http://schemas.openxmlformats.org/package/2006/relationships"><Relationship Id="rId2" Type="http://schemas.openxmlformats.org/officeDocument/2006/relationships/hyperlink" Target="mailto:epm@epm.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abbcacea-263c-4f06-8331-ad7cfe2bb525">
      <Terms xmlns="http://schemas.microsoft.com/office/infopath/2007/PartnerControls"/>
    </lcf76f155ced4ddcb4097134ff3c332f>
    <_Flow_SignoffStatus xmlns="abbcacea-263c-4f06-8331-ad7cfe2bb525" xsi:nil="true"/>
    <TaxCatchAll xmlns="f9f9d8f7-6499-4d85-a3d1-c325ea0d3e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C4EE9-FDBF-40AA-AF29-9EC4B5AC5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DD3A8959-8B8A-4390-A977-B4406D968520}">
  <ds:schemaRefs>
    <ds:schemaRef ds:uri="f9f9d8f7-6499-4d85-a3d1-c325ea0d3e5f"/>
    <ds:schemaRef ds:uri="http://www.w3.org/XML/1998/namespace"/>
    <ds:schemaRef ds:uri="http://schemas.microsoft.com/office/2006/metadata/properties"/>
    <ds:schemaRef ds:uri="http://purl.org/dc/elements/1.1/"/>
    <ds:schemaRef ds:uri="http://schemas.microsoft.com/sharepoint/v4"/>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abbcacea-263c-4f06-8331-ad7cfe2bb525"/>
    <ds:schemaRef ds:uri="http://purl.org/dc/dcmitype/"/>
  </ds:schemaRefs>
</ds:datastoreItem>
</file>

<file path=customXml/itemProps4.xml><?xml version="1.0" encoding="utf-8"?>
<ds:datastoreItem xmlns:ds="http://schemas.openxmlformats.org/officeDocument/2006/customXml" ds:itemID="{5FA4C817-45EE-4536-9AD5-0F3C1D5EFC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2839</Words>
  <Characters>16185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85</cp:revision>
  <dcterms:created xsi:type="dcterms:W3CDTF">2023-04-21T06:47:00Z</dcterms:created>
  <dcterms:modified xsi:type="dcterms:W3CDTF">2023-04-21T07:20:00Z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