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spacing w:before="28"/>
        <w:rPr>
          <w:rFonts w:ascii="Times New Roman"/>
          <w:sz w:val="32"/>
        </w:rPr>
      </w:pPr>
    </w:p>
    <w:p>
      <w:pPr>
        <w:pStyle w:val="Title"/>
      </w:pPr>
      <w:r>
        <w:rPr/>
        <w:drawing>
          <wp:anchor distT="0" distB="0" distL="0" distR="0" allowOverlap="1" layoutInCell="1" locked="0" behindDoc="0" simplePos="0" relativeHeight="15728640">
            <wp:simplePos x="0" y="0"/>
            <wp:positionH relativeFrom="page">
              <wp:posOffset>5507354</wp:posOffset>
            </wp:positionH>
            <wp:positionV relativeFrom="paragraph">
              <wp:posOffset>-1185064</wp:posOffset>
            </wp:positionV>
            <wp:extent cx="1434337" cy="71056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434337" cy="710565"/>
                    </a:xfrm>
                    <a:prstGeom prst="rect">
                      <a:avLst/>
                    </a:prstGeom>
                  </pic:spPr>
                </pic:pic>
              </a:graphicData>
            </a:graphic>
          </wp:anchor>
        </w:drawing>
      </w:r>
      <w:r>
        <w:rPr>
          <w:color w:val="232D53"/>
          <w:w w:val="110"/>
        </w:rPr>
        <w:t>DBS</w:t>
      </w:r>
      <w:r>
        <w:rPr>
          <w:color w:val="232D53"/>
          <w:spacing w:val="14"/>
          <w:w w:val="110"/>
        </w:rPr>
        <w:t> </w:t>
      </w:r>
      <w:r>
        <w:rPr>
          <w:color w:val="232D53"/>
          <w:w w:val="110"/>
        </w:rPr>
        <w:t>Declaration</w:t>
      </w:r>
      <w:r>
        <w:rPr>
          <w:color w:val="232D53"/>
          <w:spacing w:val="15"/>
          <w:w w:val="110"/>
        </w:rPr>
        <w:t> </w:t>
      </w:r>
      <w:r>
        <w:rPr>
          <w:color w:val="232D53"/>
          <w:w w:val="110"/>
        </w:rPr>
        <w:t>for</w:t>
      </w:r>
      <w:r>
        <w:rPr>
          <w:color w:val="232D53"/>
          <w:spacing w:val="14"/>
          <w:w w:val="110"/>
        </w:rPr>
        <w:t> </w:t>
      </w:r>
      <w:r>
        <w:rPr>
          <w:color w:val="232D53"/>
          <w:w w:val="110"/>
        </w:rPr>
        <w:t>New</w:t>
      </w:r>
      <w:r>
        <w:rPr>
          <w:color w:val="232D53"/>
          <w:spacing w:val="15"/>
          <w:w w:val="110"/>
        </w:rPr>
        <w:t> </w:t>
      </w:r>
      <w:r>
        <w:rPr>
          <w:color w:val="232D53"/>
          <w:spacing w:val="-2"/>
          <w:w w:val="110"/>
        </w:rPr>
        <w:t>Customers</w:t>
      </w:r>
    </w:p>
    <w:p>
      <w:pPr>
        <w:pStyle w:val="BodyText"/>
        <w:spacing w:line="276" w:lineRule="auto" w:before="221"/>
        <w:ind w:left="101"/>
      </w:pPr>
      <w:r>
        <w:rPr>
          <w:w w:val="110"/>
        </w:rPr>
        <w:t>In accordance with the Keeping Children Safe in Education statutory guidance, all employees and volunteers</w:t>
      </w:r>
      <w:r>
        <w:rPr>
          <w:spacing w:val="-6"/>
          <w:w w:val="110"/>
        </w:rPr>
        <w:t> </w:t>
      </w:r>
      <w:r>
        <w:rPr>
          <w:w w:val="110"/>
        </w:rPr>
        <w:t>who</w:t>
      </w:r>
      <w:r>
        <w:rPr>
          <w:spacing w:val="-6"/>
          <w:w w:val="110"/>
        </w:rPr>
        <w:t> </w:t>
      </w:r>
      <w:r>
        <w:rPr>
          <w:w w:val="110"/>
        </w:rPr>
        <w:t>have</w:t>
      </w:r>
      <w:r>
        <w:rPr>
          <w:spacing w:val="-6"/>
          <w:w w:val="110"/>
        </w:rPr>
        <w:t> </w:t>
      </w:r>
      <w:r>
        <w:rPr>
          <w:w w:val="110"/>
        </w:rPr>
        <w:t>substantial</w:t>
      </w:r>
      <w:r>
        <w:rPr>
          <w:spacing w:val="-6"/>
          <w:w w:val="110"/>
        </w:rPr>
        <w:t> </w:t>
      </w:r>
      <w:r>
        <w:rPr>
          <w:w w:val="110"/>
        </w:rPr>
        <w:t>unsupervised</w:t>
      </w:r>
      <w:r>
        <w:rPr>
          <w:spacing w:val="-7"/>
          <w:w w:val="110"/>
        </w:rPr>
        <w:t> </w:t>
      </w:r>
      <w:r>
        <w:rPr>
          <w:w w:val="110"/>
        </w:rPr>
        <w:t>contact</w:t>
      </w:r>
      <w:r>
        <w:rPr>
          <w:spacing w:val="-6"/>
          <w:w w:val="110"/>
        </w:rPr>
        <w:t> </w:t>
      </w:r>
      <w:r>
        <w:rPr>
          <w:w w:val="110"/>
        </w:rPr>
        <w:t>with</w:t>
      </w:r>
      <w:r>
        <w:rPr>
          <w:spacing w:val="-6"/>
          <w:w w:val="110"/>
        </w:rPr>
        <w:t> </w:t>
      </w:r>
      <w:r>
        <w:rPr>
          <w:w w:val="110"/>
        </w:rPr>
        <w:t>children</w:t>
      </w:r>
      <w:r>
        <w:rPr>
          <w:spacing w:val="-6"/>
          <w:w w:val="110"/>
        </w:rPr>
        <w:t> </w:t>
      </w:r>
      <w:r>
        <w:rPr>
          <w:w w:val="110"/>
        </w:rPr>
        <w:t>or</w:t>
      </w:r>
      <w:r>
        <w:rPr>
          <w:spacing w:val="-7"/>
          <w:w w:val="110"/>
        </w:rPr>
        <w:t> </w:t>
      </w:r>
      <w:r>
        <w:rPr>
          <w:w w:val="110"/>
        </w:rPr>
        <w:t>vulnerable</w:t>
      </w:r>
      <w:r>
        <w:rPr>
          <w:spacing w:val="-6"/>
          <w:w w:val="110"/>
        </w:rPr>
        <w:t> </w:t>
      </w:r>
      <w:r>
        <w:rPr>
          <w:w w:val="110"/>
        </w:rPr>
        <w:t>adults</w:t>
      </w:r>
      <w:r>
        <w:rPr>
          <w:spacing w:val="-6"/>
          <w:w w:val="110"/>
        </w:rPr>
        <w:t> </w:t>
      </w:r>
      <w:r>
        <w:rPr>
          <w:w w:val="110"/>
        </w:rPr>
        <w:t>must</w:t>
      </w:r>
      <w:r>
        <w:rPr>
          <w:spacing w:val="-6"/>
          <w:w w:val="110"/>
        </w:rPr>
        <w:t> </w:t>
      </w:r>
      <w:r>
        <w:rPr>
          <w:w w:val="110"/>
        </w:rPr>
        <w:t>have undertaken an Enhanced DBS check if employed since March 2002, or the relevant police check if appointed prior to that date.</w:t>
      </w:r>
    </w:p>
    <w:p>
      <w:pPr>
        <w:pStyle w:val="BodyText"/>
        <w:spacing w:line="276" w:lineRule="auto" w:before="161"/>
        <w:ind w:left="101" w:right="504"/>
      </w:pPr>
      <w:r>
        <w:rPr>
          <w:w w:val="110"/>
        </w:rPr>
        <w:t>As EPM Ltd are to be your HR provider you are required to sign below to confirm that all of your employees and volunteers (who are engaged in regulated activity) have been checked against the Barred List (formally List 99) and have undergone one of the following safeguarding checks:</w:t>
      </w:r>
    </w:p>
    <w:p>
      <w:pPr>
        <w:pStyle w:val="ListParagraph"/>
        <w:numPr>
          <w:ilvl w:val="0"/>
          <w:numId w:val="1"/>
        </w:numPr>
        <w:tabs>
          <w:tab w:pos="384" w:val="left" w:leader="none"/>
        </w:tabs>
        <w:spacing w:line="240" w:lineRule="auto" w:before="183" w:after="0"/>
        <w:ind w:left="384" w:right="0" w:hanging="283"/>
        <w:jc w:val="left"/>
        <w:rPr>
          <w:sz w:val="21"/>
        </w:rPr>
      </w:pPr>
      <w:r>
        <w:rPr>
          <w:w w:val="115"/>
          <w:sz w:val="21"/>
        </w:rPr>
        <w:t>Enhanced DBS</w:t>
      </w:r>
      <w:r>
        <w:rPr>
          <w:spacing w:val="1"/>
          <w:w w:val="115"/>
          <w:sz w:val="21"/>
        </w:rPr>
        <w:t> </w:t>
      </w:r>
      <w:r>
        <w:rPr>
          <w:spacing w:val="-2"/>
          <w:w w:val="115"/>
          <w:sz w:val="21"/>
        </w:rPr>
        <w:t>check</w:t>
      </w:r>
    </w:p>
    <w:p>
      <w:pPr>
        <w:pStyle w:val="ListParagraph"/>
        <w:numPr>
          <w:ilvl w:val="0"/>
          <w:numId w:val="1"/>
        </w:numPr>
        <w:tabs>
          <w:tab w:pos="384" w:val="left" w:leader="none"/>
        </w:tabs>
        <w:spacing w:line="240" w:lineRule="auto" w:before="143" w:after="0"/>
        <w:ind w:left="384" w:right="0" w:hanging="283"/>
        <w:jc w:val="left"/>
        <w:rPr>
          <w:sz w:val="21"/>
        </w:rPr>
      </w:pPr>
      <w:r>
        <w:rPr>
          <w:w w:val="115"/>
          <w:sz w:val="21"/>
        </w:rPr>
        <w:t>Old</w:t>
      </w:r>
      <w:r>
        <w:rPr>
          <w:spacing w:val="-10"/>
          <w:w w:val="115"/>
          <w:sz w:val="21"/>
        </w:rPr>
        <w:t> </w:t>
      </w:r>
      <w:r>
        <w:rPr>
          <w:w w:val="115"/>
          <w:sz w:val="21"/>
        </w:rPr>
        <w:t>style</w:t>
      </w:r>
      <w:r>
        <w:rPr>
          <w:spacing w:val="-10"/>
          <w:w w:val="115"/>
          <w:sz w:val="21"/>
        </w:rPr>
        <w:t> </w:t>
      </w:r>
      <w:r>
        <w:rPr>
          <w:w w:val="115"/>
          <w:sz w:val="21"/>
        </w:rPr>
        <w:t>police</w:t>
      </w:r>
      <w:r>
        <w:rPr>
          <w:spacing w:val="-12"/>
          <w:w w:val="115"/>
          <w:sz w:val="21"/>
        </w:rPr>
        <w:t> </w:t>
      </w:r>
      <w:r>
        <w:rPr>
          <w:spacing w:val="-2"/>
          <w:w w:val="115"/>
          <w:sz w:val="21"/>
        </w:rPr>
        <w:t>check</w:t>
      </w:r>
    </w:p>
    <w:p>
      <w:pPr>
        <w:pStyle w:val="ListParagraph"/>
        <w:numPr>
          <w:ilvl w:val="0"/>
          <w:numId w:val="1"/>
        </w:numPr>
        <w:tabs>
          <w:tab w:pos="384" w:val="left" w:leader="none"/>
        </w:tabs>
        <w:spacing w:line="240" w:lineRule="auto" w:before="143" w:after="0"/>
        <w:ind w:left="384" w:right="0" w:hanging="283"/>
        <w:jc w:val="left"/>
        <w:rPr>
          <w:sz w:val="21"/>
        </w:rPr>
      </w:pPr>
      <w:r>
        <w:rPr>
          <w:w w:val="110"/>
          <w:sz w:val="21"/>
        </w:rPr>
        <w:t>Portability</w:t>
      </w:r>
      <w:r>
        <w:rPr>
          <w:spacing w:val="-2"/>
          <w:w w:val="110"/>
          <w:sz w:val="21"/>
        </w:rPr>
        <w:t> </w:t>
      </w:r>
      <w:r>
        <w:rPr>
          <w:w w:val="110"/>
          <w:sz w:val="21"/>
        </w:rPr>
        <w:t>of</w:t>
      </w:r>
      <w:r>
        <w:rPr>
          <w:spacing w:val="-3"/>
          <w:w w:val="110"/>
          <w:sz w:val="21"/>
        </w:rPr>
        <w:t> </w:t>
      </w:r>
      <w:r>
        <w:rPr>
          <w:w w:val="110"/>
          <w:sz w:val="21"/>
        </w:rPr>
        <w:t>a</w:t>
      </w:r>
      <w:r>
        <w:rPr>
          <w:spacing w:val="-1"/>
          <w:w w:val="110"/>
          <w:sz w:val="21"/>
        </w:rPr>
        <w:t> </w:t>
      </w:r>
      <w:r>
        <w:rPr>
          <w:w w:val="110"/>
          <w:sz w:val="21"/>
        </w:rPr>
        <w:t>DBS</w:t>
      </w:r>
      <w:r>
        <w:rPr>
          <w:spacing w:val="-1"/>
          <w:w w:val="110"/>
          <w:sz w:val="21"/>
        </w:rPr>
        <w:t> </w:t>
      </w:r>
      <w:r>
        <w:rPr>
          <w:spacing w:val="-4"/>
          <w:w w:val="110"/>
          <w:sz w:val="21"/>
        </w:rPr>
        <w:t>check</w:t>
      </w:r>
    </w:p>
    <w:p>
      <w:pPr>
        <w:pStyle w:val="BodyText"/>
        <w:spacing w:line="276" w:lineRule="auto" w:before="123"/>
        <w:ind w:left="101"/>
      </w:pPr>
      <w:r>
        <w:rPr>
          <w:w w:val="110"/>
        </w:rPr>
        <w:t>Keeping Children Safe in Education statutory guidance also outlines what is required to be held in a schools/colleges single central record. By signing this you are also confirming that your single central record is currently in place.</w:t>
      </w:r>
    </w:p>
    <w:p>
      <w:pPr>
        <w:pStyle w:val="BodyText"/>
        <w:spacing w:line="276" w:lineRule="auto" w:before="160"/>
        <w:ind w:left="101" w:right="10"/>
      </w:pPr>
      <w:r>
        <w:rPr>
          <w:w w:val="110"/>
        </w:rPr>
        <w:t>Note: If your school is an academy or is converting to an academy/joining a trust, you are required to carry out section 128 checks in certain circumstances. The only DBS job title which includes a section 128 check is ‘independent school’. However, you must be engaged in regulated activity to use this job title. For all other positions that require this check please carry out the check at </w:t>
      </w:r>
      <w:hyperlink r:id="rId6">
        <w:r>
          <w:rPr>
            <w:color w:val="467885"/>
            <w:w w:val="110"/>
            <w:u w:val="single" w:color="467885"/>
          </w:rPr>
          <w:t>Individuals prohibited</w:t>
        </w:r>
      </w:hyperlink>
      <w:r>
        <w:rPr>
          <w:color w:val="467885"/>
          <w:w w:val="110"/>
          <w:u w:val="none"/>
        </w:rPr>
        <w:t> </w:t>
      </w:r>
      <w:hyperlink r:id="rId6">
        <w:r>
          <w:rPr>
            <w:color w:val="467885"/>
            <w:w w:val="110"/>
            <w:u w:val="single" w:color="467885"/>
          </w:rPr>
          <w:t>from managing or governing schools - GOV.UK</w:t>
        </w:r>
      </w:hyperlink>
    </w:p>
    <w:p>
      <w:pPr>
        <w:pStyle w:val="BodyText"/>
        <w:spacing w:before="162"/>
        <w:ind w:left="101"/>
      </w:pPr>
      <w:r>
        <w:rPr>
          <w:w w:val="110"/>
        </w:rPr>
        <w:t>Please</w:t>
      </w:r>
      <w:r>
        <w:rPr>
          <w:spacing w:val="-3"/>
          <w:w w:val="110"/>
        </w:rPr>
        <w:t> </w:t>
      </w:r>
      <w:r>
        <w:rPr>
          <w:w w:val="110"/>
        </w:rPr>
        <w:t>sign</w:t>
      </w:r>
      <w:r>
        <w:rPr>
          <w:spacing w:val="-2"/>
          <w:w w:val="110"/>
        </w:rPr>
        <w:t> </w:t>
      </w:r>
      <w:r>
        <w:rPr>
          <w:w w:val="110"/>
        </w:rPr>
        <w:t>the</w:t>
      </w:r>
      <w:r>
        <w:rPr>
          <w:spacing w:val="-2"/>
          <w:w w:val="110"/>
        </w:rPr>
        <w:t> </w:t>
      </w:r>
      <w:r>
        <w:rPr>
          <w:w w:val="110"/>
        </w:rPr>
        <w:t>section</w:t>
      </w:r>
      <w:r>
        <w:rPr>
          <w:spacing w:val="-1"/>
          <w:w w:val="110"/>
        </w:rPr>
        <w:t> </w:t>
      </w:r>
      <w:r>
        <w:rPr>
          <w:w w:val="110"/>
        </w:rPr>
        <w:t>below</w:t>
      </w:r>
      <w:r>
        <w:rPr>
          <w:spacing w:val="-2"/>
          <w:w w:val="110"/>
        </w:rPr>
        <w:t> </w:t>
      </w:r>
      <w:r>
        <w:rPr>
          <w:w w:val="110"/>
        </w:rPr>
        <w:t>to</w:t>
      </w:r>
      <w:r>
        <w:rPr>
          <w:spacing w:val="-2"/>
          <w:w w:val="110"/>
        </w:rPr>
        <w:t> </w:t>
      </w:r>
      <w:r>
        <w:rPr>
          <w:w w:val="110"/>
        </w:rPr>
        <w:t>confirm</w:t>
      </w:r>
      <w:r>
        <w:rPr>
          <w:spacing w:val="-1"/>
          <w:w w:val="110"/>
        </w:rPr>
        <w:t> </w:t>
      </w:r>
      <w:r>
        <w:rPr>
          <w:w w:val="110"/>
        </w:rPr>
        <w:t>that</w:t>
      </w:r>
      <w:r>
        <w:rPr>
          <w:spacing w:val="-2"/>
          <w:w w:val="110"/>
        </w:rPr>
        <w:t> </w:t>
      </w:r>
      <w:r>
        <w:rPr>
          <w:w w:val="110"/>
        </w:rPr>
        <w:t>the</w:t>
      </w:r>
      <w:r>
        <w:rPr>
          <w:spacing w:val="-3"/>
          <w:w w:val="110"/>
        </w:rPr>
        <w:t> </w:t>
      </w:r>
      <w:r>
        <w:rPr>
          <w:w w:val="110"/>
        </w:rPr>
        <w:t>details</w:t>
      </w:r>
      <w:r>
        <w:rPr>
          <w:spacing w:val="-1"/>
          <w:w w:val="110"/>
        </w:rPr>
        <w:t> </w:t>
      </w:r>
      <w:r>
        <w:rPr>
          <w:w w:val="110"/>
        </w:rPr>
        <w:t>supplied</w:t>
      </w:r>
      <w:r>
        <w:rPr>
          <w:spacing w:val="-2"/>
          <w:w w:val="110"/>
        </w:rPr>
        <w:t> </w:t>
      </w:r>
      <w:r>
        <w:rPr>
          <w:w w:val="110"/>
        </w:rPr>
        <w:t>are</w:t>
      </w:r>
      <w:r>
        <w:rPr>
          <w:spacing w:val="-2"/>
          <w:w w:val="110"/>
        </w:rPr>
        <w:t> correct:</w:t>
      </w:r>
    </w:p>
    <w:p>
      <w:pPr>
        <w:pStyle w:val="BodyText"/>
        <w:rPr>
          <w:sz w:val="16"/>
        </w:rPr>
      </w:pPr>
    </w:p>
    <w:tbl>
      <w:tblPr>
        <w:tblW w:w="0" w:type="auto"/>
        <w:jc w:val="left"/>
        <w:tblInd w:w="1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539"/>
        <w:gridCol w:w="6097"/>
      </w:tblGrid>
      <w:tr>
        <w:trPr>
          <w:trHeight w:val="567" w:hRule="atLeast"/>
        </w:trPr>
        <w:tc>
          <w:tcPr>
            <w:tcW w:w="3539" w:type="dxa"/>
            <w:shd w:val="clear" w:color="auto" w:fill="EFEFEB"/>
          </w:tcPr>
          <w:p>
            <w:pPr>
              <w:pStyle w:val="TableParagraph"/>
              <w:spacing w:before="168"/>
              <w:ind w:left="107"/>
              <w:rPr>
                <w:b/>
                <w:sz w:val="21"/>
              </w:rPr>
            </w:pPr>
            <w:r>
              <w:rPr>
                <w:b/>
                <w:w w:val="110"/>
                <w:sz w:val="21"/>
              </w:rPr>
              <w:t>Headteacher</w:t>
            </w:r>
            <w:r>
              <w:rPr>
                <w:b/>
                <w:spacing w:val="13"/>
                <w:w w:val="110"/>
                <w:sz w:val="21"/>
              </w:rPr>
              <w:t> </w:t>
            </w:r>
            <w:r>
              <w:rPr>
                <w:b/>
                <w:spacing w:val="-2"/>
                <w:w w:val="110"/>
                <w:sz w:val="21"/>
              </w:rPr>
              <w:t>Signature:</w:t>
            </w:r>
          </w:p>
        </w:tc>
        <w:tc>
          <w:tcPr>
            <w:tcW w:w="6097" w:type="dxa"/>
          </w:tcPr>
          <w:p>
            <w:pPr>
              <w:pStyle w:val="TableParagraph"/>
              <w:rPr>
                <w:rFonts w:ascii="Times New Roman"/>
                <w:sz w:val="20"/>
              </w:rPr>
            </w:pPr>
          </w:p>
        </w:tc>
      </w:tr>
      <w:tr>
        <w:trPr>
          <w:trHeight w:val="567" w:hRule="atLeast"/>
        </w:trPr>
        <w:tc>
          <w:tcPr>
            <w:tcW w:w="3539" w:type="dxa"/>
            <w:shd w:val="clear" w:color="auto" w:fill="EFEFEB"/>
          </w:tcPr>
          <w:p>
            <w:pPr>
              <w:pStyle w:val="TableParagraph"/>
              <w:spacing w:before="168"/>
              <w:ind w:left="107"/>
              <w:rPr>
                <w:b/>
                <w:sz w:val="21"/>
              </w:rPr>
            </w:pPr>
            <w:r>
              <w:rPr>
                <w:b/>
                <w:w w:val="110"/>
                <w:sz w:val="21"/>
              </w:rPr>
              <w:t>Headteacher</w:t>
            </w:r>
            <w:r>
              <w:rPr>
                <w:b/>
                <w:spacing w:val="13"/>
                <w:w w:val="110"/>
                <w:sz w:val="21"/>
              </w:rPr>
              <w:t> </w:t>
            </w:r>
            <w:r>
              <w:rPr>
                <w:b/>
                <w:spacing w:val="-4"/>
                <w:w w:val="110"/>
                <w:sz w:val="21"/>
              </w:rPr>
              <w:t>Name:</w:t>
            </w:r>
          </w:p>
        </w:tc>
        <w:tc>
          <w:tcPr>
            <w:tcW w:w="6097" w:type="dxa"/>
          </w:tcPr>
          <w:p>
            <w:pPr>
              <w:pStyle w:val="TableParagraph"/>
              <w:rPr>
                <w:rFonts w:ascii="Times New Roman"/>
                <w:sz w:val="20"/>
              </w:rPr>
            </w:pPr>
          </w:p>
        </w:tc>
      </w:tr>
      <w:tr>
        <w:trPr>
          <w:trHeight w:val="567" w:hRule="atLeast"/>
        </w:trPr>
        <w:tc>
          <w:tcPr>
            <w:tcW w:w="3539" w:type="dxa"/>
            <w:shd w:val="clear" w:color="auto" w:fill="EFEFEB"/>
          </w:tcPr>
          <w:p>
            <w:pPr>
              <w:pStyle w:val="TableParagraph"/>
              <w:spacing w:before="168"/>
              <w:ind w:left="107"/>
              <w:rPr>
                <w:b/>
                <w:sz w:val="21"/>
              </w:rPr>
            </w:pPr>
            <w:r>
              <w:rPr>
                <w:b/>
                <w:w w:val="115"/>
                <w:sz w:val="21"/>
              </w:rPr>
              <w:t>Date</w:t>
            </w:r>
            <w:r>
              <w:rPr>
                <w:b/>
                <w:spacing w:val="-14"/>
                <w:w w:val="115"/>
                <w:sz w:val="21"/>
              </w:rPr>
              <w:t> </w:t>
            </w:r>
            <w:r>
              <w:rPr>
                <w:b/>
                <w:spacing w:val="-2"/>
                <w:w w:val="115"/>
                <w:sz w:val="21"/>
              </w:rPr>
              <w:t>Signed:</w:t>
            </w:r>
          </w:p>
        </w:tc>
        <w:tc>
          <w:tcPr>
            <w:tcW w:w="6097" w:type="dxa"/>
          </w:tcPr>
          <w:p>
            <w:pPr>
              <w:pStyle w:val="TableParagraph"/>
              <w:rPr>
                <w:rFonts w:ascii="Times New Roman"/>
                <w:sz w:val="20"/>
              </w:rPr>
            </w:pPr>
          </w:p>
        </w:tc>
      </w:tr>
    </w:tbl>
    <w:sectPr>
      <w:type w:val="continuous"/>
      <w:pgSz w:w="11910" w:h="16840"/>
      <w:pgMar w:top="320" w:bottom="280" w:left="92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85" w:hanging="285"/>
      </w:pPr>
      <w:rPr>
        <w:rFonts w:hint="default" w:ascii="Calibri" w:hAnsi="Calibri" w:eastAsia="Calibri" w:cs="Calibri"/>
        <w:b w:val="0"/>
        <w:bCs w:val="0"/>
        <w:i w:val="0"/>
        <w:iCs w:val="0"/>
        <w:color w:val="A21356"/>
        <w:spacing w:val="0"/>
        <w:w w:val="94"/>
        <w:sz w:val="21"/>
        <w:szCs w:val="21"/>
        <w:lang w:val="en-US" w:eastAsia="en-US" w:bidi="ar-SA"/>
      </w:rPr>
    </w:lvl>
    <w:lvl w:ilvl="1">
      <w:start w:val="0"/>
      <w:numFmt w:val="bullet"/>
      <w:lvlText w:val="•"/>
      <w:lvlJc w:val="left"/>
      <w:pPr>
        <w:ind w:left="1328" w:hanging="285"/>
      </w:pPr>
      <w:rPr>
        <w:rFonts w:hint="default"/>
        <w:lang w:val="en-US" w:eastAsia="en-US" w:bidi="ar-SA"/>
      </w:rPr>
    </w:lvl>
    <w:lvl w:ilvl="2">
      <w:start w:val="0"/>
      <w:numFmt w:val="bullet"/>
      <w:lvlText w:val="•"/>
      <w:lvlJc w:val="left"/>
      <w:pPr>
        <w:ind w:left="2277" w:hanging="285"/>
      </w:pPr>
      <w:rPr>
        <w:rFonts w:hint="default"/>
        <w:lang w:val="en-US" w:eastAsia="en-US" w:bidi="ar-SA"/>
      </w:rPr>
    </w:lvl>
    <w:lvl w:ilvl="3">
      <w:start w:val="0"/>
      <w:numFmt w:val="bullet"/>
      <w:lvlText w:val="•"/>
      <w:lvlJc w:val="left"/>
      <w:pPr>
        <w:ind w:left="3225" w:hanging="285"/>
      </w:pPr>
      <w:rPr>
        <w:rFonts w:hint="default"/>
        <w:lang w:val="en-US" w:eastAsia="en-US" w:bidi="ar-SA"/>
      </w:rPr>
    </w:lvl>
    <w:lvl w:ilvl="4">
      <w:start w:val="0"/>
      <w:numFmt w:val="bullet"/>
      <w:lvlText w:val="•"/>
      <w:lvlJc w:val="left"/>
      <w:pPr>
        <w:ind w:left="4174" w:hanging="285"/>
      </w:pPr>
      <w:rPr>
        <w:rFonts w:hint="default"/>
        <w:lang w:val="en-US" w:eastAsia="en-US" w:bidi="ar-SA"/>
      </w:rPr>
    </w:lvl>
    <w:lvl w:ilvl="5">
      <w:start w:val="0"/>
      <w:numFmt w:val="bullet"/>
      <w:lvlText w:val="•"/>
      <w:lvlJc w:val="left"/>
      <w:pPr>
        <w:ind w:left="5123" w:hanging="285"/>
      </w:pPr>
      <w:rPr>
        <w:rFonts w:hint="default"/>
        <w:lang w:val="en-US" w:eastAsia="en-US" w:bidi="ar-SA"/>
      </w:rPr>
    </w:lvl>
    <w:lvl w:ilvl="6">
      <w:start w:val="0"/>
      <w:numFmt w:val="bullet"/>
      <w:lvlText w:val="•"/>
      <w:lvlJc w:val="left"/>
      <w:pPr>
        <w:ind w:left="6071" w:hanging="285"/>
      </w:pPr>
      <w:rPr>
        <w:rFonts w:hint="default"/>
        <w:lang w:val="en-US" w:eastAsia="en-US" w:bidi="ar-SA"/>
      </w:rPr>
    </w:lvl>
    <w:lvl w:ilvl="7">
      <w:start w:val="0"/>
      <w:numFmt w:val="bullet"/>
      <w:lvlText w:val="•"/>
      <w:lvlJc w:val="left"/>
      <w:pPr>
        <w:ind w:left="7020" w:hanging="285"/>
      </w:pPr>
      <w:rPr>
        <w:rFonts w:hint="default"/>
        <w:lang w:val="en-US" w:eastAsia="en-US" w:bidi="ar-SA"/>
      </w:rPr>
    </w:lvl>
    <w:lvl w:ilvl="8">
      <w:start w:val="0"/>
      <w:numFmt w:val="bullet"/>
      <w:lvlText w:val="•"/>
      <w:lvlJc w:val="left"/>
      <w:pPr>
        <w:ind w:left="7969" w:hanging="28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1"/>
      <w:szCs w:val="21"/>
      <w:lang w:val="en-US" w:eastAsia="en-US" w:bidi="ar-SA"/>
    </w:rPr>
  </w:style>
  <w:style w:styleId="Title" w:type="paragraph">
    <w:name w:val="Title"/>
    <w:basedOn w:val="Normal"/>
    <w:uiPriority w:val="1"/>
    <w:qFormat/>
    <w:pPr>
      <w:ind w:left="101"/>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spacing w:before="143"/>
      <w:ind w:left="384" w:hanging="283"/>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gbr01.safelinks.protection.outlook.com/?url=https%3A%2F%2Fwww.gov.uk%2Fgovernment%2Fcollections%2Findividuals-prohibited-from-managing-or-governing-schools&amp;data=05%7C02%7CMarketingTeam%40EPM.CO.UK%7C86cdfa3819564f49f5e008dd6078d07e%7Cb1cc86c88fb447ae9d62d7ce37008c63%7C0%7C0%7C638772794214042012%7CUnknown%7CTWFpbGZsb3d8eyJFbXB0eU1hcGkiOnRydWUsIlYiOiIwLjAuMDAwMCIsIlAiOiJXaW4zMiIsIkFOIjoiTWFpbCIsIldUIjoyfQ%3D%3D%7C0%7C%7C%7C&amp;sdata=niCuE4B6VpoEsxzDoN%2F%2FzMRh9NWM9vjGLgBEhFaBXfU%3D&amp;reserved=0"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Bainbridge</dc:creator>
  <dcterms:created xsi:type="dcterms:W3CDTF">2025-04-15T16:02:23Z</dcterms:created>
  <dcterms:modified xsi:type="dcterms:W3CDTF">2025-04-15T16:02:23Z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for Microsoft 365</vt:lpwstr>
  </property>
  <property fmtid="{D5CDD505-2E9C-101B-9397-08002B2CF9AE}" pid="4" name="LastSaved">
    <vt:filetime>2025-04-15T00:00:00Z</vt:filetime>
  </property>
  <property fmtid="{D5CDD505-2E9C-101B-9397-08002B2CF9AE}" pid="5" name="Producer">
    <vt:lpwstr>Microsoft® Word for Microsoft 365</vt:lpwstr>
  </property>
</Properties>
</file>