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141FED" w14:textId="77777777" w:rsidR="004B5130" w:rsidRDefault="004B5130" w:rsidP="007934AF">
      <w:pPr>
        <w:pStyle w:val="EPMTextstyle"/>
        <w:spacing w:after="240" w:line="880" w:lineRule="exact"/>
        <w:rPr>
          <w:sz w:val="72"/>
          <w:szCs w:val="72"/>
        </w:rPr>
      </w:pPr>
    </w:p>
    <w:p w14:paraId="24A27A2E" w14:textId="75B67785" w:rsidR="007934AF" w:rsidRPr="0099024B" w:rsidRDefault="007934AF" w:rsidP="004B5130">
      <w:pPr>
        <w:pStyle w:val="EPMPolicyTitle"/>
      </w:pPr>
      <w:r>
        <w:rPr>
          <w:color w:val="4B4B4B"/>
        </w:rPr>
        <w:drawing>
          <wp:anchor distT="0" distB="0" distL="114300" distR="114300" simplePos="0" relativeHeight="251658240" behindDoc="1" locked="0" layoutInCell="1" allowOverlap="1" wp14:anchorId="17718498" wp14:editId="78F8841F">
            <wp:simplePos x="0" y="0"/>
            <wp:positionH relativeFrom="column">
              <wp:posOffset>4787265</wp:posOffset>
            </wp:positionH>
            <wp:positionV relativeFrom="paragraph">
              <wp:posOffset>-1207135</wp:posOffset>
            </wp:positionV>
            <wp:extent cx="1435100" cy="710952"/>
            <wp:effectExtent l="0" t="0" r="0" b="635"/>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5100" cy="710952"/>
                    </a:xfrm>
                    <a:prstGeom prst="rect">
                      <a:avLst/>
                    </a:prstGeom>
                  </pic:spPr>
                </pic:pic>
              </a:graphicData>
            </a:graphic>
            <wp14:sizeRelH relativeFrom="margin">
              <wp14:pctWidth>0</wp14:pctWidth>
            </wp14:sizeRelH>
            <wp14:sizeRelV relativeFrom="margin">
              <wp14:pctHeight>0</wp14:pctHeight>
            </wp14:sizeRelV>
          </wp:anchor>
        </w:drawing>
      </w:r>
      <w:r w:rsidR="00A66D21">
        <w:t>EPM Model Data Protection</w:t>
      </w:r>
      <w:r w:rsidR="000A3077">
        <w:t xml:space="preserve"> Policy</w:t>
      </w:r>
    </w:p>
    <w:p w14:paraId="0835EA7D" w14:textId="77777777" w:rsidR="007934AF" w:rsidRPr="0099024B" w:rsidRDefault="007934AF" w:rsidP="007934AF">
      <w:pPr>
        <w:pStyle w:val="EPMTextstyle"/>
        <w:spacing w:after="0" w:line="720" w:lineRule="exact"/>
        <w:rPr>
          <w:color w:val="A31457"/>
          <w:sz w:val="56"/>
          <w:szCs w:val="56"/>
        </w:rPr>
      </w:pPr>
      <w:r w:rsidRPr="0099024B">
        <w:rPr>
          <w:color w:val="A31457"/>
          <w:sz w:val="56"/>
          <w:szCs w:val="56"/>
        </w:rPr>
        <w:t>[School/Academy Name]</w:t>
      </w:r>
    </w:p>
    <w:p w14:paraId="4C9A5D07" w14:textId="662F7C86" w:rsidR="001019FF" w:rsidRDefault="00566160" w:rsidP="001019FF">
      <w:pPr>
        <w:pStyle w:val="EPMPageHeading"/>
        <w:rPr>
          <w:rStyle w:val="Hyperlink"/>
          <w:b w:val="0"/>
        </w:rPr>
      </w:pPr>
      <w:r w:rsidRPr="0099024B">
        <w:rPr>
          <w:noProof/>
          <w:lang w:eastAsia="en-GB"/>
        </w:rPr>
        <mc:AlternateContent>
          <mc:Choice Requires="wps">
            <w:drawing>
              <wp:anchor distT="0" distB="0" distL="114300" distR="114300" simplePos="0" relativeHeight="251664384" behindDoc="0" locked="0" layoutInCell="1" allowOverlap="1" wp14:anchorId="1FDE2ADA" wp14:editId="317F3D7B">
                <wp:simplePos x="0" y="0"/>
                <wp:positionH relativeFrom="column">
                  <wp:posOffset>-179070</wp:posOffset>
                </wp:positionH>
                <wp:positionV relativeFrom="paragraph">
                  <wp:posOffset>645160</wp:posOffset>
                </wp:positionV>
                <wp:extent cx="6408199" cy="1297173"/>
                <wp:effectExtent l="0" t="0" r="0" b="0"/>
                <wp:wrapNone/>
                <wp:docPr id="1" name="Text Box 1"/>
                <wp:cNvGraphicFramePr/>
                <a:graphic xmlns:a="http://schemas.openxmlformats.org/drawingml/2006/main">
                  <a:graphicData uri="http://schemas.microsoft.com/office/word/2010/wordprocessingShape">
                    <wps:wsp>
                      <wps:cNvSpPr txBox="1"/>
                      <wps:spPr>
                        <a:xfrm>
                          <a:off x="0" y="0"/>
                          <a:ext cx="6408199" cy="1297173"/>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15A3019" w14:textId="709E4E6D" w:rsidR="00512C09" w:rsidRPr="00556E67" w:rsidRDefault="002C3BE5" w:rsidP="00277A10">
                            <w:pPr>
                              <w:pStyle w:val="Standardpolicywording"/>
                              <w:spacing w:line="340" w:lineRule="exact"/>
                              <w:rPr>
                                <w:rFonts w:cs="Arial"/>
                                <w:color w:val="A31457"/>
                                <w:sz w:val="22"/>
                                <w:szCs w:val="22"/>
                              </w:rPr>
                            </w:pPr>
                            <w:r w:rsidRPr="00556E67">
                              <w:rPr>
                                <w:rFonts w:cs="Arial"/>
                                <w:color w:val="A31457"/>
                                <w:sz w:val="22"/>
                                <w:szCs w:val="22"/>
                              </w:rPr>
                              <w:t>This model policy</w:t>
                            </w:r>
                            <w:r w:rsidR="00E50360" w:rsidRPr="00556E67">
                              <w:rPr>
                                <w:rFonts w:cs="Arial"/>
                                <w:color w:val="A31457"/>
                                <w:sz w:val="22"/>
                                <w:szCs w:val="22"/>
                              </w:rPr>
                              <w:t>/procedure</w:t>
                            </w:r>
                            <w:r w:rsidRPr="00556E67">
                              <w:rPr>
                                <w:rFonts w:cs="Arial"/>
                                <w:color w:val="A31457"/>
                                <w:sz w:val="22"/>
                                <w:szCs w:val="22"/>
                              </w:rPr>
                              <w:t xml:space="preserve"> is suitable for adoption by all categories of </w:t>
                            </w:r>
                            <w:r w:rsidR="005A00E0" w:rsidRPr="00556E67">
                              <w:rPr>
                                <w:rFonts w:cs="Arial"/>
                                <w:color w:val="A31457"/>
                                <w:sz w:val="22"/>
                                <w:szCs w:val="22"/>
                              </w:rPr>
                              <w:t>M</w:t>
                            </w:r>
                            <w:r w:rsidRPr="00556E67">
                              <w:rPr>
                                <w:rFonts w:cs="Arial"/>
                                <w:color w:val="A31457"/>
                                <w:sz w:val="22"/>
                                <w:szCs w:val="22"/>
                              </w:rPr>
                              <w:t xml:space="preserve">aintained </w:t>
                            </w:r>
                            <w:r w:rsidR="005A00E0" w:rsidRPr="00556E67">
                              <w:rPr>
                                <w:rFonts w:cs="Arial"/>
                                <w:color w:val="A31457"/>
                                <w:sz w:val="22"/>
                                <w:szCs w:val="22"/>
                              </w:rPr>
                              <w:t>S</w:t>
                            </w:r>
                            <w:r w:rsidRPr="00556E67">
                              <w:rPr>
                                <w:rFonts w:cs="Arial"/>
                                <w:color w:val="A31457"/>
                                <w:sz w:val="22"/>
                                <w:szCs w:val="22"/>
                              </w:rPr>
                              <w:t xml:space="preserve">chools, </w:t>
                            </w:r>
                            <w:r w:rsidR="005A00E0" w:rsidRPr="00556E67">
                              <w:rPr>
                                <w:rFonts w:cs="Arial"/>
                                <w:color w:val="A31457"/>
                                <w:sz w:val="22"/>
                                <w:szCs w:val="22"/>
                              </w:rPr>
                              <w:t>A</w:t>
                            </w:r>
                            <w:r w:rsidRPr="00556E67">
                              <w:rPr>
                                <w:rFonts w:cs="Arial"/>
                                <w:color w:val="A31457"/>
                                <w:sz w:val="22"/>
                                <w:szCs w:val="22"/>
                              </w:rPr>
                              <w:t xml:space="preserve">cademies, </w:t>
                            </w:r>
                            <w:r w:rsidR="00895306" w:rsidRPr="00556E67">
                              <w:rPr>
                                <w:rFonts w:cs="Arial"/>
                                <w:color w:val="A31457"/>
                                <w:sz w:val="22"/>
                                <w:szCs w:val="22"/>
                              </w:rPr>
                              <w:t>Trusts,</w:t>
                            </w:r>
                            <w:r w:rsidRPr="00556E67">
                              <w:rPr>
                                <w:rFonts w:cs="Arial"/>
                                <w:color w:val="A31457"/>
                                <w:sz w:val="22"/>
                                <w:szCs w:val="22"/>
                              </w:rPr>
                              <w:t xml:space="preserve"> and </w:t>
                            </w:r>
                            <w:r w:rsidR="005A00E0" w:rsidRPr="00556E67">
                              <w:rPr>
                                <w:rFonts w:cs="Arial"/>
                                <w:color w:val="A31457"/>
                                <w:sz w:val="22"/>
                                <w:szCs w:val="22"/>
                              </w:rPr>
                              <w:t>F</w:t>
                            </w:r>
                            <w:r w:rsidRPr="00556E67">
                              <w:rPr>
                                <w:rFonts w:cs="Arial"/>
                                <w:color w:val="A31457"/>
                                <w:sz w:val="22"/>
                                <w:szCs w:val="22"/>
                              </w:rPr>
                              <w:t xml:space="preserve">ree </w:t>
                            </w:r>
                            <w:r w:rsidR="005A00E0" w:rsidRPr="00556E67">
                              <w:rPr>
                                <w:rFonts w:cs="Arial"/>
                                <w:color w:val="A31457"/>
                                <w:sz w:val="22"/>
                                <w:szCs w:val="22"/>
                              </w:rPr>
                              <w:t>S</w:t>
                            </w:r>
                            <w:r w:rsidRPr="00556E67">
                              <w:rPr>
                                <w:rFonts w:cs="Arial"/>
                                <w:color w:val="A31457"/>
                                <w:sz w:val="22"/>
                                <w:szCs w:val="22"/>
                              </w:rPr>
                              <w:t>chools.</w:t>
                            </w:r>
                            <w:r w:rsidR="00314F04" w:rsidRPr="00556E67">
                              <w:rPr>
                                <w:rFonts w:cs="Arial"/>
                                <w:color w:val="A31457"/>
                                <w:sz w:val="22"/>
                                <w:szCs w:val="22"/>
                              </w:rPr>
                              <w:t xml:space="preserve"> </w:t>
                            </w:r>
                            <w:r w:rsidRPr="00556E67">
                              <w:rPr>
                                <w:rFonts w:cs="Arial"/>
                                <w:color w:val="A31457"/>
                                <w:sz w:val="22"/>
                                <w:szCs w:val="22"/>
                              </w:rPr>
                              <w:t xml:space="preserve">It must be tailored to meet your requirements. </w:t>
                            </w:r>
                          </w:p>
                          <w:p w14:paraId="52EEC09D" w14:textId="000A9747" w:rsidR="002C3BE5" w:rsidRPr="00556E67" w:rsidRDefault="002C3BE5" w:rsidP="00277A10">
                            <w:pPr>
                              <w:pStyle w:val="Standardpolicywording"/>
                              <w:spacing w:line="340" w:lineRule="exact"/>
                              <w:rPr>
                                <w:rFonts w:cs="Arial"/>
                                <w:color w:val="A31457"/>
                                <w:sz w:val="22"/>
                                <w:szCs w:val="22"/>
                              </w:rPr>
                            </w:pPr>
                            <w:r w:rsidRPr="00556E67">
                              <w:rPr>
                                <w:rFonts w:cs="Arial"/>
                                <w:color w:val="A31457"/>
                                <w:sz w:val="22"/>
                                <w:szCs w:val="22"/>
                              </w:rPr>
                              <w:t xml:space="preserve">Please ensure it is consistent with other policies/procedures. </w:t>
                            </w:r>
                          </w:p>
                          <w:p w14:paraId="7A1296FC" w14:textId="76DE8EC1" w:rsidR="00512C09" w:rsidRPr="00556E67" w:rsidRDefault="002C3BE5" w:rsidP="00277A10">
                            <w:pPr>
                              <w:spacing w:line="340" w:lineRule="exact"/>
                              <w:rPr>
                                <w:rFonts w:cs="Arial"/>
                                <w:b/>
                                <w:bCs/>
                                <w:color w:val="A31457"/>
                                <w:sz w:val="22"/>
                                <w:szCs w:val="22"/>
                              </w:rPr>
                            </w:pPr>
                            <w:r w:rsidRPr="00556E67">
                              <w:rPr>
                                <w:rFonts w:cs="Arial"/>
                                <w:b/>
                                <w:bCs/>
                                <w:color w:val="A31457"/>
                                <w:sz w:val="22"/>
                                <w:szCs w:val="22"/>
                              </w:rPr>
                              <w:t>Please remove this advisory text prior to adoption</w:t>
                            </w:r>
                            <w:r w:rsidR="00512C09" w:rsidRPr="00556E67">
                              <w:rPr>
                                <w:rFonts w:cs="Arial"/>
                                <w:b/>
                                <w:bCs/>
                                <w:color w:val="A31457"/>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DE2ADA" id="_x0000_t202" coordsize="21600,21600" o:spt="202" path="m,l,21600r21600,l21600,xe">
                <v:stroke joinstyle="miter"/>
                <v:path gradientshapeok="t" o:connecttype="rect"/>
              </v:shapetype>
              <v:shape id="Text Box 1" o:spid="_x0000_s1026" type="#_x0000_t202" style="position:absolute;margin-left:-14.1pt;margin-top:50.8pt;width:504.6pt;height:102.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" filled="f" stroked="f">
                <v:textbox>
                  <w:txbxContent>
                    <w:p w14:paraId="315A3019" w14:textId="709E4E6D" w:rsidR="00512C09" w:rsidRPr="00556E67" w:rsidRDefault="002C3BE5" w:rsidP="00277A10">
                      <w:pPr>
                        <w:pStyle w:val="Standardpolicywording"/>
                        <w:spacing w:line="340" w:lineRule="exact"/>
                        <w:rPr>
                          <w:rFonts w:cs="Arial"/>
                          <w:color w:val="A31457"/>
                          <w:sz w:val="22"/>
                          <w:szCs w:val="22"/>
                        </w:rPr>
                      </w:pPr>
                      <w:r w:rsidRPr="00556E67">
                        <w:rPr>
                          <w:rFonts w:cs="Arial"/>
                          <w:color w:val="A31457"/>
                          <w:sz w:val="22"/>
                          <w:szCs w:val="22"/>
                        </w:rPr>
                        <w:t>This model policy</w:t>
                      </w:r>
                      <w:r w:rsidR="00E50360" w:rsidRPr="00556E67">
                        <w:rPr>
                          <w:rFonts w:cs="Arial"/>
                          <w:color w:val="A31457"/>
                          <w:sz w:val="22"/>
                          <w:szCs w:val="22"/>
                        </w:rPr>
                        <w:t>/procedure</w:t>
                      </w:r>
                      <w:r w:rsidRPr="00556E67">
                        <w:rPr>
                          <w:rFonts w:cs="Arial"/>
                          <w:color w:val="A31457"/>
                          <w:sz w:val="22"/>
                          <w:szCs w:val="22"/>
                        </w:rPr>
                        <w:t xml:space="preserve"> is suitable for adoption by all categories of </w:t>
                      </w:r>
                      <w:r w:rsidR="005A00E0" w:rsidRPr="00556E67">
                        <w:rPr>
                          <w:rFonts w:cs="Arial"/>
                          <w:color w:val="A31457"/>
                          <w:sz w:val="22"/>
                          <w:szCs w:val="22"/>
                        </w:rPr>
                        <w:t>M</w:t>
                      </w:r>
                      <w:r w:rsidRPr="00556E67">
                        <w:rPr>
                          <w:rFonts w:cs="Arial"/>
                          <w:color w:val="A31457"/>
                          <w:sz w:val="22"/>
                          <w:szCs w:val="22"/>
                        </w:rPr>
                        <w:t xml:space="preserve">aintained </w:t>
                      </w:r>
                      <w:r w:rsidR="005A00E0" w:rsidRPr="00556E67">
                        <w:rPr>
                          <w:rFonts w:cs="Arial"/>
                          <w:color w:val="A31457"/>
                          <w:sz w:val="22"/>
                          <w:szCs w:val="22"/>
                        </w:rPr>
                        <w:t>S</w:t>
                      </w:r>
                      <w:r w:rsidRPr="00556E67">
                        <w:rPr>
                          <w:rFonts w:cs="Arial"/>
                          <w:color w:val="A31457"/>
                          <w:sz w:val="22"/>
                          <w:szCs w:val="22"/>
                        </w:rPr>
                        <w:t xml:space="preserve">chools, </w:t>
                      </w:r>
                      <w:r w:rsidR="005A00E0" w:rsidRPr="00556E67">
                        <w:rPr>
                          <w:rFonts w:cs="Arial"/>
                          <w:color w:val="A31457"/>
                          <w:sz w:val="22"/>
                          <w:szCs w:val="22"/>
                        </w:rPr>
                        <w:t>A</w:t>
                      </w:r>
                      <w:r w:rsidRPr="00556E67">
                        <w:rPr>
                          <w:rFonts w:cs="Arial"/>
                          <w:color w:val="A31457"/>
                          <w:sz w:val="22"/>
                          <w:szCs w:val="22"/>
                        </w:rPr>
                        <w:t xml:space="preserve">cademies, </w:t>
                      </w:r>
                      <w:r w:rsidR="00895306" w:rsidRPr="00556E67">
                        <w:rPr>
                          <w:rFonts w:cs="Arial"/>
                          <w:color w:val="A31457"/>
                          <w:sz w:val="22"/>
                          <w:szCs w:val="22"/>
                        </w:rPr>
                        <w:t>Trusts,</w:t>
                      </w:r>
                      <w:r w:rsidRPr="00556E67">
                        <w:rPr>
                          <w:rFonts w:cs="Arial"/>
                          <w:color w:val="A31457"/>
                          <w:sz w:val="22"/>
                          <w:szCs w:val="22"/>
                        </w:rPr>
                        <w:t xml:space="preserve"> and </w:t>
                      </w:r>
                      <w:r w:rsidR="005A00E0" w:rsidRPr="00556E67">
                        <w:rPr>
                          <w:rFonts w:cs="Arial"/>
                          <w:color w:val="A31457"/>
                          <w:sz w:val="22"/>
                          <w:szCs w:val="22"/>
                        </w:rPr>
                        <w:t>F</w:t>
                      </w:r>
                      <w:r w:rsidRPr="00556E67">
                        <w:rPr>
                          <w:rFonts w:cs="Arial"/>
                          <w:color w:val="A31457"/>
                          <w:sz w:val="22"/>
                          <w:szCs w:val="22"/>
                        </w:rPr>
                        <w:t xml:space="preserve">ree </w:t>
                      </w:r>
                      <w:r w:rsidR="005A00E0" w:rsidRPr="00556E67">
                        <w:rPr>
                          <w:rFonts w:cs="Arial"/>
                          <w:color w:val="A31457"/>
                          <w:sz w:val="22"/>
                          <w:szCs w:val="22"/>
                        </w:rPr>
                        <w:t>S</w:t>
                      </w:r>
                      <w:r w:rsidRPr="00556E67">
                        <w:rPr>
                          <w:rFonts w:cs="Arial"/>
                          <w:color w:val="A31457"/>
                          <w:sz w:val="22"/>
                          <w:szCs w:val="22"/>
                        </w:rPr>
                        <w:t>chools.</w:t>
                      </w:r>
                      <w:r w:rsidR="00314F04" w:rsidRPr="00556E67">
                        <w:rPr>
                          <w:rFonts w:cs="Arial"/>
                          <w:color w:val="A31457"/>
                          <w:sz w:val="22"/>
                          <w:szCs w:val="22"/>
                        </w:rPr>
                        <w:t xml:space="preserve"> </w:t>
                      </w:r>
                      <w:r w:rsidRPr="00556E67">
                        <w:rPr>
                          <w:rFonts w:cs="Arial"/>
                          <w:color w:val="A31457"/>
                          <w:sz w:val="22"/>
                          <w:szCs w:val="22"/>
                        </w:rPr>
                        <w:t xml:space="preserve">It must be tailored to meet your requirements. </w:t>
                      </w:r>
                    </w:p>
                    <w:p w14:paraId="52EEC09D" w14:textId="000A9747" w:rsidR="002C3BE5" w:rsidRPr="00556E67" w:rsidRDefault="002C3BE5" w:rsidP="00277A10">
                      <w:pPr>
                        <w:pStyle w:val="Standardpolicywording"/>
                        <w:spacing w:line="340" w:lineRule="exact"/>
                        <w:rPr>
                          <w:rFonts w:cs="Arial"/>
                          <w:color w:val="A31457"/>
                          <w:sz w:val="22"/>
                          <w:szCs w:val="22"/>
                        </w:rPr>
                      </w:pPr>
                      <w:r w:rsidRPr="00556E67">
                        <w:rPr>
                          <w:rFonts w:cs="Arial"/>
                          <w:color w:val="A31457"/>
                          <w:sz w:val="22"/>
                          <w:szCs w:val="22"/>
                        </w:rPr>
                        <w:t xml:space="preserve">Please ensure it is consistent with other policies/procedures. </w:t>
                      </w:r>
                    </w:p>
                    <w:p w14:paraId="7A1296FC" w14:textId="76DE8EC1" w:rsidR="00512C09" w:rsidRPr="00556E67" w:rsidRDefault="002C3BE5" w:rsidP="00277A10">
                      <w:pPr>
                        <w:spacing w:line="340" w:lineRule="exact"/>
                        <w:rPr>
                          <w:rFonts w:cs="Arial"/>
                          <w:b/>
                          <w:bCs/>
                          <w:color w:val="A31457"/>
                          <w:sz w:val="22"/>
                          <w:szCs w:val="22"/>
                        </w:rPr>
                      </w:pPr>
                      <w:r w:rsidRPr="00556E67">
                        <w:rPr>
                          <w:rFonts w:cs="Arial"/>
                          <w:b/>
                          <w:bCs/>
                          <w:color w:val="A31457"/>
                          <w:sz w:val="22"/>
                          <w:szCs w:val="22"/>
                        </w:rPr>
                        <w:t>Please remove this advisory text prior to adoption</w:t>
                      </w:r>
                      <w:r w:rsidR="00512C09" w:rsidRPr="00556E67">
                        <w:rPr>
                          <w:rFonts w:cs="Arial"/>
                          <w:b/>
                          <w:bCs/>
                          <w:color w:val="A31457"/>
                          <w:sz w:val="22"/>
                          <w:szCs w:val="22"/>
                        </w:rPr>
                        <w:t>.</w:t>
                      </w:r>
                    </w:p>
                  </w:txbxContent>
                </v:textbox>
              </v:shape>
            </w:pict>
          </mc:Fallback>
        </mc:AlternateContent>
      </w:r>
      <w:r w:rsidR="001019FF">
        <w:rPr>
          <w:rStyle w:val="Hyperlink"/>
        </w:rPr>
        <w:br w:type="page"/>
      </w:r>
    </w:p>
    <w:p w14:paraId="090ECFCF" w14:textId="54E4E6B2" w:rsidR="7296D105" w:rsidRDefault="7296D105" w:rsidP="57504E55">
      <w:pPr>
        <w:spacing w:after="240"/>
      </w:pPr>
      <w:r w:rsidRPr="57504E55">
        <w:rPr>
          <w:rFonts w:eastAsia="Arial" w:cs="Arial"/>
          <w:b/>
          <w:bCs/>
          <w:sz w:val="32"/>
          <w:szCs w:val="32"/>
        </w:rPr>
        <w:lastRenderedPageBreak/>
        <w:t>Policy Version Control</w:t>
      </w:r>
    </w:p>
    <w:tbl>
      <w:tblPr>
        <w:tblStyle w:val="TableGrid"/>
        <w:tblW w:w="0" w:type="auto"/>
        <w:tblLayout w:type="fixed"/>
        <w:tblLook w:val="04A0" w:firstRow="1" w:lastRow="0" w:firstColumn="1" w:lastColumn="0" w:noHBand="0" w:noVBand="1"/>
      </w:tblPr>
      <w:tblGrid>
        <w:gridCol w:w="1408"/>
        <w:gridCol w:w="1382"/>
        <w:gridCol w:w="3735"/>
        <w:gridCol w:w="3315"/>
      </w:tblGrid>
      <w:tr w:rsidR="57504E55" w14:paraId="0B5ABF5E" w14:textId="77777777" w:rsidTr="071C72D5">
        <w:trPr>
          <w:trHeight w:val="300"/>
        </w:trPr>
        <w:tc>
          <w:tcPr>
            <w:tcW w:w="1408" w:type="dxa"/>
            <w:tcBorders>
              <w:top w:val="single" w:sz="8" w:space="0" w:color="auto"/>
              <w:left w:val="single" w:sz="8" w:space="0" w:color="auto"/>
              <w:bottom w:val="single" w:sz="8" w:space="0" w:color="auto"/>
              <w:right w:val="single" w:sz="8" w:space="0" w:color="auto"/>
            </w:tcBorders>
            <w:shd w:val="clear" w:color="auto" w:fill="F0F0EB"/>
            <w:tcMar>
              <w:top w:w="57" w:type="dxa"/>
              <w:left w:w="108" w:type="dxa"/>
              <w:bottom w:w="57" w:type="dxa"/>
              <w:right w:w="108" w:type="dxa"/>
            </w:tcMar>
          </w:tcPr>
          <w:p w14:paraId="7886615F" w14:textId="1C014A78" w:rsidR="57504E55" w:rsidRDefault="57504E55" w:rsidP="57504E55">
            <w:pPr>
              <w:spacing w:before="60" w:after="60"/>
            </w:pPr>
            <w:r w:rsidRPr="57504E55">
              <w:rPr>
                <w:rFonts w:eastAsia="Arial" w:cs="Arial"/>
                <w:b/>
                <w:bCs/>
                <w:color w:val="000000" w:themeColor="text1"/>
                <w:sz w:val="22"/>
                <w:szCs w:val="22"/>
              </w:rPr>
              <w:t>Date</w:t>
            </w:r>
          </w:p>
        </w:tc>
        <w:tc>
          <w:tcPr>
            <w:tcW w:w="1382" w:type="dxa"/>
            <w:tcBorders>
              <w:top w:val="single" w:sz="8" w:space="0" w:color="auto"/>
              <w:left w:val="single" w:sz="8" w:space="0" w:color="auto"/>
              <w:bottom w:val="single" w:sz="8" w:space="0" w:color="auto"/>
              <w:right w:val="single" w:sz="8" w:space="0" w:color="auto"/>
            </w:tcBorders>
            <w:shd w:val="clear" w:color="auto" w:fill="F0F0EB"/>
            <w:tcMar>
              <w:top w:w="57" w:type="dxa"/>
              <w:left w:w="108" w:type="dxa"/>
              <w:bottom w:w="57" w:type="dxa"/>
              <w:right w:w="108" w:type="dxa"/>
            </w:tcMar>
          </w:tcPr>
          <w:p w14:paraId="5852F170" w14:textId="53A9FC8F" w:rsidR="57504E55" w:rsidRDefault="163B295D" w:rsidP="57504E55">
            <w:pPr>
              <w:spacing w:before="60" w:after="60"/>
            </w:pPr>
            <w:r w:rsidRPr="071C72D5">
              <w:rPr>
                <w:rFonts w:eastAsia="Arial" w:cs="Arial"/>
                <w:b/>
                <w:bCs/>
                <w:color w:val="000000" w:themeColor="text1"/>
                <w:sz w:val="22"/>
                <w:szCs w:val="22"/>
              </w:rPr>
              <w:t>Version</w:t>
            </w:r>
          </w:p>
        </w:tc>
        <w:tc>
          <w:tcPr>
            <w:tcW w:w="3735" w:type="dxa"/>
            <w:tcBorders>
              <w:top w:val="single" w:sz="8" w:space="0" w:color="auto"/>
              <w:left w:val="single" w:sz="8" w:space="0" w:color="auto"/>
              <w:bottom w:val="single" w:sz="8" w:space="0" w:color="auto"/>
              <w:right w:val="single" w:sz="8" w:space="0" w:color="auto"/>
            </w:tcBorders>
            <w:shd w:val="clear" w:color="auto" w:fill="F0F0EB"/>
            <w:tcMar>
              <w:top w:w="57" w:type="dxa"/>
              <w:left w:w="108" w:type="dxa"/>
              <w:bottom w:w="57" w:type="dxa"/>
              <w:right w:w="108" w:type="dxa"/>
            </w:tcMar>
          </w:tcPr>
          <w:p w14:paraId="7C432B8D" w14:textId="5F14E15A" w:rsidR="57504E55" w:rsidRDefault="57504E55" w:rsidP="57504E55">
            <w:pPr>
              <w:spacing w:before="60" w:after="60"/>
            </w:pPr>
            <w:r w:rsidRPr="57504E55">
              <w:rPr>
                <w:rFonts w:eastAsia="Arial" w:cs="Arial"/>
                <w:b/>
                <w:bCs/>
                <w:color w:val="000000" w:themeColor="text1"/>
                <w:sz w:val="22"/>
                <w:szCs w:val="22"/>
              </w:rPr>
              <w:t>Heading</w:t>
            </w:r>
          </w:p>
        </w:tc>
        <w:tc>
          <w:tcPr>
            <w:tcW w:w="3315" w:type="dxa"/>
            <w:tcBorders>
              <w:top w:val="single" w:sz="8" w:space="0" w:color="auto"/>
              <w:left w:val="single" w:sz="8" w:space="0" w:color="auto"/>
              <w:bottom w:val="single" w:sz="8" w:space="0" w:color="auto"/>
              <w:right w:val="single" w:sz="8" w:space="0" w:color="auto"/>
            </w:tcBorders>
            <w:shd w:val="clear" w:color="auto" w:fill="F0F0EB"/>
            <w:tcMar>
              <w:top w:w="57" w:type="dxa"/>
              <w:left w:w="108" w:type="dxa"/>
              <w:bottom w:w="57" w:type="dxa"/>
              <w:right w:w="108" w:type="dxa"/>
            </w:tcMar>
          </w:tcPr>
          <w:p w14:paraId="2E213D88" w14:textId="70D2ABD9" w:rsidR="57504E55" w:rsidRDefault="57504E55" w:rsidP="57504E55">
            <w:pPr>
              <w:spacing w:before="60" w:after="60"/>
            </w:pPr>
            <w:r w:rsidRPr="071C72D5">
              <w:rPr>
                <w:rFonts w:eastAsia="Arial" w:cs="Arial"/>
                <w:b/>
                <w:bCs/>
                <w:color w:val="FFFFFF" w:themeColor="background1"/>
                <w:sz w:val="22"/>
                <w:szCs w:val="22"/>
              </w:rPr>
              <w:t xml:space="preserve"> </w:t>
            </w:r>
            <w:r w:rsidR="73895771" w:rsidRPr="071C72D5">
              <w:rPr>
                <w:rFonts w:eastAsiaTheme="minorEastAsia"/>
                <w:b/>
                <w:bCs/>
                <w:color w:val="000000" w:themeColor="text1"/>
                <w:sz w:val="22"/>
                <w:szCs w:val="22"/>
              </w:rPr>
              <w:t>Changes</w:t>
            </w:r>
          </w:p>
        </w:tc>
      </w:tr>
      <w:tr w:rsidR="00E23864" w14:paraId="59981883" w14:textId="77777777" w:rsidTr="071C72D5">
        <w:trPr>
          <w:trHeight w:val="300"/>
        </w:trPr>
        <w:tc>
          <w:tcPr>
            <w:tcW w:w="1408"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tcPr>
          <w:p w14:paraId="522D4823" w14:textId="1A51EB18" w:rsidR="00E23864" w:rsidRPr="57504E55" w:rsidRDefault="00E23864" w:rsidP="57504E55">
            <w:pPr>
              <w:spacing w:before="60" w:after="60"/>
              <w:rPr>
                <w:rFonts w:eastAsia="Arial" w:cs="Arial"/>
                <w:sz w:val="21"/>
                <w:szCs w:val="21"/>
              </w:rPr>
            </w:pPr>
            <w:r>
              <w:rPr>
                <w:rFonts w:eastAsia="Arial" w:cs="Arial"/>
                <w:sz w:val="21"/>
                <w:szCs w:val="21"/>
              </w:rPr>
              <w:t>June 2024</w:t>
            </w:r>
          </w:p>
        </w:tc>
        <w:tc>
          <w:tcPr>
            <w:tcW w:w="1382"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tcPr>
          <w:p w14:paraId="2E35444D" w14:textId="4A034D18" w:rsidR="00E23864" w:rsidRPr="57504E55" w:rsidRDefault="00E23864" w:rsidP="57504E55">
            <w:pPr>
              <w:spacing w:before="60" w:after="60"/>
              <w:rPr>
                <w:rFonts w:eastAsia="Arial" w:cs="Arial"/>
                <w:sz w:val="21"/>
                <w:szCs w:val="21"/>
              </w:rPr>
            </w:pPr>
            <w:r>
              <w:rPr>
                <w:rFonts w:eastAsia="Arial" w:cs="Arial"/>
                <w:sz w:val="21"/>
                <w:szCs w:val="21"/>
              </w:rPr>
              <w:t>1.3</w:t>
            </w:r>
          </w:p>
        </w:tc>
        <w:tc>
          <w:tcPr>
            <w:tcW w:w="3735"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tcPr>
          <w:p w14:paraId="4C8A12CB" w14:textId="77777777" w:rsidR="00E23864" w:rsidRPr="57504E55" w:rsidRDefault="00E23864" w:rsidP="57504E55">
            <w:pPr>
              <w:spacing w:before="60" w:after="60"/>
              <w:rPr>
                <w:rFonts w:eastAsia="Arial" w:cs="Arial"/>
                <w:sz w:val="21"/>
                <w:szCs w:val="21"/>
              </w:rPr>
            </w:pPr>
          </w:p>
        </w:tc>
        <w:tc>
          <w:tcPr>
            <w:tcW w:w="3315"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tcPr>
          <w:p w14:paraId="67FFC0E6" w14:textId="61262BED" w:rsidR="00E23864" w:rsidRPr="57504E55" w:rsidRDefault="00E23864" w:rsidP="57504E55">
            <w:pPr>
              <w:spacing w:before="60" w:after="60"/>
              <w:rPr>
                <w:rFonts w:eastAsia="Arial" w:cs="Arial"/>
                <w:sz w:val="21"/>
                <w:szCs w:val="21"/>
              </w:rPr>
            </w:pPr>
            <w:r>
              <w:rPr>
                <w:rFonts w:eastAsia="Arial" w:cs="Arial"/>
                <w:sz w:val="21"/>
                <w:szCs w:val="21"/>
              </w:rPr>
              <w:t>Insert “UK”</w:t>
            </w:r>
          </w:p>
        </w:tc>
      </w:tr>
      <w:tr w:rsidR="57504E55" w14:paraId="12B7B19A" w14:textId="77777777" w:rsidTr="071C72D5">
        <w:trPr>
          <w:trHeight w:val="300"/>
        </w:trPr>
        <w:tc>
          <w:tcPr>
            <w:tcW w:w="1408"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tcPr>
          <w:p w14:paraId="07F9DB6C" w14:textId="19F3BCB2" w:rsidR="57504E55" w:rsidRDefault="57504E55" w:rsidP="57504E55">
            <w:pPr>
              <w:spacing w:before="60" w:after="60"/>
            </w:pPr>
            <w:r w:rsidRPr="57504E55">
              <w:rPr>
                <w:rFonts w:eastAsia="Arial" w:cs="Arial"/>
                <w:sz w:val="21"/>
                <w:szCs w:val="21"/>
              </w:rPr>
              <w:t>July 2023</w:t>
            </w:r>
          </w:p>
        </w:tc>
        <w:tc>
          <w:tcPr>
            <w:tcW w:w="1382"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tcPr>
          <w:p w14:paraId="403C7338" w14:textId="22F99B43" w:rsidR="57504E55" w:rsidRDefault="57504E55" w:rsidP="57504E55">
            <w:pPr>
              <w:spacing w:before="60" w:after="60"/>
            </w:pPr>
            <w:r w:rsidRPr="57504E55">
              <w:rPr>
                <w:rFonts w:eastAsia="Arial" w:cs="Arial"/>
                <w:sz w:val="21"/>
                <w:szCs w:val="21"/>
              </w:rPr>
              <w:t>1.</w:t>
            </w:r>
            <w:r w:rsidR="00CF178C">
              <w:rPr>
                <w:rFonts w:eastAsia="Arial" w:cs="Arial"/>
                <w:sz w:val="21"/>
                <w:szCs w:val="21"/>
              </w:rPr>
              <w:t>2</w:t>
            </w:r>
          </w:p>
        </w:tc>
        <w:tc>
          <w:tcPr>
            <w:tcW w:w="3735"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tcPr>
          <w:p w14:paraId="4F0A575B" w14:textId="726B0192" w:rsidR="57504E55" w:rsidRDefault="57504E55" w:rsidP="57504E55">
            <w:pPr>
              <w:spacing w:before="60" w:after="60"/>
            </w:pPr>
            <w:r w:rsidRPr="57504E55">
              <w:rPr>
                <w:rFonts w:eastAsia="Arial" w:cs="Arial"/>
                <w:sz w:val="21"/>
                <w:szCs w:val="21"/>
              </w:rPr>
              <w:t xml:space="preserve"> </w:t>
            </w:r>
          </w:p>
        </w:tc>
        <w:tc>
          <w:tcPr>
            <w:tcW w:w="3315"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tcPr>
          <w:p w14:paraId="334DE428" w14:textId="7ADF208D" w:rsidR="57504E55" w:rsidRDefault="57504E55" w:rsidP="57504E55">
            <w:pPr>
              <w:spacing w:before="60" w:after="60"/>
            </w:pPr>
            <w:r w:rsidRPr="57504E55">
              <w:rPr>
                <w:rFonts w:eastAsia="Arial" w:cs="Arial"/>
                <w:sz w:val="21"/>
                <w:szCs w:val="21"/>
              </w:rPr>
              <w:t xml:space="preserve"> </w:t>
            </w:r>
          </w:p>
        </w:tc>
      </w:tr>
      <w:tr w:rsidR="57504E55" w14:paraId="2AB380BC" w14:textId="77777777" w:rsidTr="071C72D5">
        <w:trPr>
          <w:trHeight w:val="300"/>
        </w:trPr>
        <w:tc>
          <w:tcPr>
            <w:tcW w:w="1408"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tcPr>
          <w:p w14:paraId="366353CD" w14:textId="37BF8476" w:rsidR="57504E55" w:rsidRDefault="00CF178C" w:rsidP="57504E55">
            <w:pPr>
              <w:spacing w:before="60" w:after="60"/>
            </w:pPr>
            <w:r>
              <w:rPr>
                <w:rFonts w:eastAsia="Arial" w:cs="Arial"/>
                <w:sz w:val="21"/>
                <w:szCs w:val="21"/>
              </w:rPr>
              <w:t>June 2022</w:t>
            </w:r>
          </w:p>
        </w:tc>
        <w:tc>
          <w:tcPr>
            <w:tcW w:w="1382"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tcPr>
          <w:p w14:paraId="510DAF51" w14:textId="397250A1" w:rsidR="57504E55" w:rsidRDefault="00CF178C" w:rsidP="57504E55">
            <w:pPr>
              <w:spacing w:before="60" w:after="60"/>
            </w:pPr>
            <w:r>
              <w:rPr>
                <w:rFonts w:eastAsia="Arial" w:cs="Arial"/>
                <w:sz w:val="21"/>
                <w:szCs w:val="21"/>
              </w:rPr>
              <w:t>1.1</w:t>
            </w:r>
          </w:p>
        </w:tc>
        <w:tc>
          <w:tcPr>
            <w:tcW w:w="3735"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tcPr>
          <w:p w14:paraId="1FA573CD" w14:textId="3C1436B1" w:rsidR="57504E55" w:rsidRDefault="57504E55" w:rsidP="57504E55">
            <w:pPr>
              <w:spacing w:before="60" w:after="60"/>
            </w:pPr>
            <w:r w:rsidRPr="57504E55">
              <w:rPr>
                <w:rFonts w:eastAsia="Arial" w:cs="Arial"/>
                <w:sz w:val="21"/>
                <w:szCs w:val="21"/>
              </w:rPr>
              <w:t xml:space="preserve"> </w:t>
            </w:r>
          </w:p>
        </w:tc>
        <w:tc>
          <w:tcPr>
            <w:tcW w:w="3315"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tcPr>
          <w:p w14:paraId="6FD0809A" w14:textId="274B3189" w:rsidR="57504E55" w:rsidRDefault="57504E55" w:rsidP="57504E55">
            <w:pPr>
              <w:spacing w:before="60" w:after="60"/>
            </w:pPr>
            <w:r w:rsidRPr="57504E55">
              <w:rPr>
                <w:rFonts w:eastAsia="Arial" w:cs="Arial"/>
                <w:sz w:val="21"/>
                <w:szCs w:val="21"/>
              </w:rPr>
              <w:t xml:space="preserve"> </w:t>
            </w:r>
          </w:p>
        </w:tc>
      </w:tr>
      <w:tr w:rsidR="57504E55" w14:paraId="2068DDDA" w14:textId="77777777" w:rsidTr="071C72D5">
        <w:trPr>
          <w:trHeight w:val="300"/>
        </w:trPr>
        <w:tc>
          <w:tcPr>
            <w:tcW w:w="1408" w:type="dxa"/>
            <w:tcBorders>
              <w:top w:val="single" w:sz="8" w:space="0" w:color="auto"/>
              <w:left w:val="single" w:sz="8" w:space="0" w:color="auto"/>
              <w:bottom w:val="single" w:sz="8" w:space="0" w:color="auto"/>
              <w:right w:val="single" w:sz="8" w:space="0" w:color="auto"/>
            </w:tcBorders>
            <w:shd w:val="clear" w:color="auto" w:fill="FFFFFF" w:themeFill="background1"/>
            <w:tcMar>
              <w:top w:w="57" w:type="dxa"/>
              <w:left w:w="108" w:type="dxa"/>
              <w:bottom w:w="57" w:type="dxa"/>
              <w:right w:w="108" w:type="dxa"/>
            </w:tcMar>
          </w:tcPr>
          <w:p w14:paraId="5A83B710" w14:textId="26AD4B35" w:rsidR="57504E55" w:rsidRDefault="00CF178C" w:rsidP="57504E55">
            <w:pPr>
              <w:spacing w:before="60" w:after="60"/>
            </w:pPr>
            <w:r w:rsidRPr="00CF178C">
              <w:rPr>
                <w:rFonts w:eastAsia="Arial" w:cs="Arial"/>
                <w:sz w:val="21"/>
                <w:szCs w:val="21"/>
              </w:rPr>
              <w:t>August 2021</w:t>
            </w:r>
          </w:p>
        </w:tc>
        <w:tc>
          <w:tcPr>
            <w:tcW w:w="1382" w:type="dxa"/>
            <w:tcBorders>
              <w:top w:val="single" w:sz="8" w:space="0" w:color="auto"/>
              <w:left w:val="single" w:sz="8" w:space="0" w:color="auto"/>
              <w:bottom w:val="single" w:sz="8" w:space="0" w:color="auto"/>
              <w:right w:val="single" w:sz="8" w:space="0" w:color="auto"/>
            </w:tcBorders>
            <w:shd w:val="clear" w:color="auto" w:fill="FFFFFF" w:themeFill="background1"/>
            <w:tcMar>
              <w:top w:w="57" w:type="dxa"/>
              <w:left w:w="108" w:type="dxa"/>
              <w:bottom w:w="57" w:type="dxa"/>
              <w:right w:w="108" w:type="dxa"/>
            </w:tcMar>
          </w:tcPr>
          <w:p w14:paraId="2755C47F" w14:textId="4583C4E5" w:rsidR="57504E55" w:rsidRDefault="00CF178C" w:rsidP="57504E55">
            <w:pPr>
              <w:spacing w:before="60" w:after="60"/>
            </w:pPr>
            <w:r w:rsidRPr="00CF178C">
              <w:rPr>
                <w:rFonts w:eastAsia="Arial" w:cs="Arial"/>
                <w:sz w:val="21"/>
                <w:szCs w:val="21"/>
              </w:rPr>
              <w:t>1.0</w:t>
            </w:r>
          </w:p>
        </w:tc>
        <w:tc>
          <w:tcPr>
            <w:tcW w:w="3735" w:type="dxa"/>
            <w:tcBorders>
              <w:top w:val="single" w:sz="8" w:space="0" w:color="auto"/>
              <w:left w:val="single" w:sz="8" w:space="0" w:color="auto"/>
              <w:bottom w:val="single" w:sz="8" w:space="0" w:color="auto"/>
              <w:right w:val="single" w:sz="8" w:space="0" w:color="auto"/>
            </w:tcBorders>
            <w:shd w:val="clear" w:color="auto" w:fill="FFFFFF" w:themeFill="background1"/>
            <w:tcMar>
              <w:top w:w="57" w:type="dxa"/>
              <w:left w:w="108" w:type="dxa"/>
              <w:bottom w:w="57" w:type="dxa"/>
              <w:right w:w="108" w:type="dxa"/>
            </w:tcMar>
          </w:tcPr>
          <w:p w14:paraId="68579100" w14:textId="0FC28881" w:rsidR="57504E55" w:rsidRDefault="57504E55" w:rsidP="57504E55">
            <w:pPr>
              <w:spacing w:before="60" w:after="60"/>
            </w:pPr>
            <w:r w:rsidRPr="57504E55">
              <w:rPr>
                <w:rFonts w:eastAsia="Arial" w:cs="Arial"/>
                <w:sz w:val="21"/>
                <w:szCs w:val="21"/>
              </w:rPr>
              <w:t xml:space="preserve"> </w:t>
            </w:r>
          </w:p>
        </w:tc>
        <w:tc>
          <w:tcPr>
            <w:tcW w:w="3315" w:type="dxa"/>
            <w:tcBorders>
              <w:top w:val="single" w:sz="8" w:space="0" w:color="auto"/>
              <w:left w:val="single" w:sz="8" w:space="0" w:color="auto"/>
              <w:bottom w:val="single" w:sz="8" w:space="0" w:color="auto"/>
              <w:right w:val="single" w:sz="8" w:space="0" w:color="auto"/>
            </w:tcBorders>
            <w:shd w:val="clear" w:color="auto" w:fill="FFFFFF" w:themeFill="background1"/>
            <w:tcMar>
              <w:top w:w="57" w:type="dxa"/>
              <w:left w:w="108" w:type="dxa"/>
              <w:bottom w:w="57" w:type="dxa"/>
              <w:right w:w="108" w:type="dxa"/>
            </w:tcMar>
          </w:tcPr>
          <w:p w14:paraId="1F97FE16" w14:textId="33841236" w:rsidR="57504E55" w:rsidRDefault="57504E55" w:rsidP="57504E55">
            <w:pPr>
              <w:spacing w:before="60" w:after="60"/>
              <w:rPr>
                <w:rFonts w:eastAsia="Arial" w:cs="Arial"/>
                <w:sz w:val="21"/>
                <w:szCs w:val="21"/>
              </w:rPr>
            </w:pPr>
          </w:p>
        </w:tc>
      </w:tr>
    </w:tbl>
    <w:p w14:paraId="3C3C773A" w14:textId="75C6237F" w:rsidR="57504E55" w:rsidRDefault="57504E55" w:rsidP="57504E55">
      <w:pPr>
        <w:pStyle w:val="EPMPageHeading"/>
        <w:rPr>
          <w:rStyle w:val="Hyperlink"/>
        </w:rPr>
        <w:sectPr w:rsidR="57504E55" w:rsidSect="000709C6">
          <w:footerReference w:type="default" r:id="rId12"/>
          <w:pgSz w:w="11906" w:h="16838"/>
          <w:pgMar w:top="1701" w:right="1021" w:bottom="851" w:left="1021" w:header="709" w:footer="544" w:gutter="0"/>
          <w:cols w:space="708"/>
          <w:docGrid w:linePitch="360"/>
        </w:sectPr>
      </w:pPr>
    </w:p>
    <w:p w14:paraId="49F68D19" w14:textId="19A0DEB3" w:rsidR="001019FF" w:rsidRDefault="001019FF" w:rsidP="001019FF">
      <w:pPr>
        <w:pStyle w:val="EPMHeading2"/>
      </w:pPr>
      <w:r>
        <w:lastRenderedPageBreak/>
        <w:t>EPM Model Data Protection Policy</w:t>
      </w:r>
    </w:p>
    <w:p w14:paraId="52C26F6B" w14:textId="40E91C7C" w:rsidR="00A66D21" w:rsidRPr="00A66D21" w:rsidRDefault="00A66D21" w:rsidP="00A66FD9">
      <w:pPr>
        <w:pStyle w:val="EPMNumberedHeading"/>
        <w:ind w:left="851" w:hanging="851"/>
      </w:pPr>
      <w:r w:rsidRPr="00A66D21">
        <w:t>Introduction</w:t>
      </w:r>
    </w:p>
    <w:p w14:paraId="08393AA9" w14:textId="0D94EB7F" w:rsidR="00A66D21" w:rsidRPr="00A66D21" w:rsidRDefault="00A66D21" w:rsidP="00A66FD9">
      <w:pPr>
        <w:pStyle w:val="EPMTextstyle"/>
        <w:ind w:left="851"/>
      </w:pPr>
      <w:r w:rsidRPr="00A66D21">
        <w:t>This policy applies to all employees, workers and contractors.</w:t>
      </w:r>
    </w:p>
    <w:p w14:paraId="168C1042" w14:textId="7B35A7F3" w:rsidR="00A66D21" w:rsidRPr="00A66D21" w:rsidRDefault="00A66D21" w:rsidP="00A66FD9">
      <w:pPr>
        <w:pStyle w:val="EPMTextstyle"/>
        <w:ind w:left="851"/>
      </w:pPr>
      <w:r w:rsidRPr="00A66D21">
        <w:t xml:space="preserve">The Governing Body/Trustees of </w:t>
      </w:r>
      <w:r w:rsidRPr="00A66D21">
        <w:rPr>
          <w:rStyle w:val="EPMBracketChar"/>
        </w:rPr>
        <w:t>[School name]</w:t>
      </w:r>
      <w:r w:rsidRPr="00A66D21">
        <w:rPr>
          <w:rStyle w:val="SquareBracketsChar"/>
          <w:rFonts w:cs="Arial"/>
          <w:i w:val="0"/>
          <w:color w:val="1381BE"/>
        </w:rPr>
        <w:t xml:space="preserve"> </w:t>
      </w:r>
      <w:r w:rsidRPr="00A66D21">
        <w:t xml:space="preserve">are committed to processing personal data </w:t>
      </w:r>
      <w:r w:rsidRPr="00DE13BF">
        <w:rPr>
          <w:rStyle w:val="EPMBracketChar"/>
          <w:color w:val="000000" w:themeColor="text1"/>
        </w:rPr>
        <w:t>(which may be held on paper, electronically, or otherwise)</w:t>
      </w:r>
      <w:r w:rsidRPr="00DE13BF">
        <w:rPr>
          <w:color w:val="000000" w:themeColor="text1"/>
        </w:rPr>
        <w:t xml:space="preserve"> </w:t>
      </w:r>
      <w:r w:rsidRPr="00A66D21">
        <w:t xml:space="preserve">about our employees and we recognise the need to treat it in an appropriate and lawful manner, in accordance with the </w:t>
      </w:r>
      <w:r w:rsidR="000E39D7">
        <w:t xml:space="preserve">UK </w:t>
      </w:r>
      <w:r w:rsidRPr="00A66D21">
        <w:t xml:space="preserve">General Data Protection Regulation </w:t>
      </w:r>
      <w:r w:rsidRPr="00DE13BF">
        <w:rPr>
          <w:rStyle w:val="EPMBracketChar"/>
          <w:color w:val="000000" w:themeColor="text1"/>
        </w:rPr>
        <w:t>(</w:t>
      </w:r>
      <w:r w:rsidR="000E39D7">
        <w:rPr>
          <w:rStyle w:val="EPMBracketChar"/>
          <w:color w:val="000000" w:themeColor="text1"/>
        </w:rPr>
        <w:t xml:space="preserve">UK </w:t>
      </w:r>
      <w:r w:rsidRPr="00DE13BF">
        <w:rPr>
          <w:rStyle w:val="EPMBracketChar"/>
          <w:color w:val="000000" w:themeColor="text1"/>
        </w:rPr>
        <w:t xml:space="preserve">GDPR). </w:t>
      </w:r>
      <w:r w:rsidRPr="00A66D21">
        <w:t>The purpose of this policy is to set out the principles by which we will handle your personal data.</w:t>
      </w:r>
    </w:p>
    <w:p w14:paraId="1658638F" w14:textId="77777777" w:rsidR="00A66D21" w:rsidRPr="00A66D21" w:rsidRDefault="00A66D21" w:rsidP="00A66FD9">
      <w:pPr>
        <w:pStyle w:val="EPMTextstyle"/>
        <w:ind w:left="851"/>
      </w:pPr>
      <w:r w:rsidRPr="00A66D21">
        <w:t xml:space="preserve">Data users are obliged to comply with this policy when processing personal data on our behalf. Any breach of this policy may result in disciplinary action, including dismissal. </w:t>
      </w:r>
    </w:p>
    <w:p w14:paraId="22DC8C41" w14:textId="144767E8" w:rsidR="00A66D21" w:rsidRPr="00DE13BF" w:rsidRDefault="00A66D21" w:rsidP="00A66FD9">
      <w:pPr>
        <w:pStyle w:val="EPMTextstyle"/>
        <w:ind w:left="851"/>
        <w:rPr>
          <w:color w:val="A31457"/>
        </w:rPr>
      </w:pPr>
      <w:r w:rsidRPr="00A66D21">
        <w:rPr>
          <w:rStyle w:val="EPMBracketChar"/>
        </w:rPr>
        <w:t>[insert role]</w:t>
      </w:r>
      <w:r w:rsidRPr="00A66D21">
        <w:t xml:space="preserve"> is responsible for ensuring compliance with the </w:t>
      </w:r>
      <w:r w:rsidR="000E39D7">
        <w:t xml:space="preserve">UK </w:t>
      </w:r>
      <w:r w:rsidRPr="00A66D21">
        <w:t xml:space="preserve">GDPR and this policy. Any questions about the operation of this policy or concerns that there has been a breach of this policy should be referred in the first instance to </w:t>
      </w:r>
      <w:r w:rsidRPr="00A66D21">
        <w:rPr>
          <w:rStyle w:val="EPMBracketChar"/>
        </w:rPr>
        <w:t>[insert role].</w:t>
      </w:r>
    </w:p>
    <w:p w14:paraId="32DCE8A3" w14:textId="77777777" w:rsidR="00A66D21" w:rsidRPr="006819EA" w:rsidRDefault="00A66D21" w:rsidP="00A66FD9">
      <w:pPr>
        <w:pStyle w:val="EPMNumberedHeading"/>
        <w:ind w:left="851" w:hanging="851"/>
      </w:pPr>
      <w:bookmarkStart w:id="0" w:name="_Toc508002902"/>
      <w:r w:rsidRPr="006819EA">
        <w:t>Responsibilities</w:t>
      </w:r>
      <w:bookmarkEnd w:id="0"/>
    </w:p>
    <w:p w14:paraId="5FD59652" w14:textId="77777777" w:rsidR="00A66D21" w:rsidRPr="00A66D21" w:rsidRDefault="00A66D21" w:rsidP="00A66FD9">
      <w:pPr>
        <w:pStyle w:val="EPMTextstyle"/>
        <w:ind w:left="851"/>
        <w:rPr>
          <w:lang w:val="en-US"/>
        </w:rPr>
      </w:pPr>
      <w:r w:rsidRPr="00A66D21">
        <w:rPr>
          <w:lang w:val="en-US"/>
        </w:rPr>
        <w:t xml:space="preserve">The </w:t>
      </w:r>
      <w:r w:rsidRPr="00A66D21">
        <w:t>Governing</w:t>
      </w:r>
      <w:r w:rsidRPr="00A66D21">
        <w:rPr>
          <w:lang w:val="en-US"/>
        </w:rPr>
        <w:t xml:space="preserve"> Body/Trustees must:</w:t>
      </w:r>
    </w:p>
    <w:p w14:paraId="1FF4B137" w14:textId="448A180A" w:rsidR="00A66D21" w:rsidRPr="00A66D21" w:rsidRDefault="00A66D21" w:rsidP="00895388">
      <w:pPr>
        <w:pStyle w:val="EPMBullets"/>
        <w:rPr>
          <w:lang w:val="en-US"/>
        </w:rPr>
      </w:pPr>
      <w:r w:rsidRPr="00A66D21">
        <w:rPr>
          <w:lang w:val="en-US"/>
        </w:rPr>
        <w:t>manage and process personal data properly.</w:t>
      </w:r>
    </w:p>
    <w:p w14:paraId="093F5444" w14:textId="754F630F" w:rsidR="00A66D21" w:rsidRPr="00A66D21" w:rsidRDefault="00A66D21" w:rsidP="00895388">
      <w:pPr>
        <w:pStyle w:val="EPMBullets"/>
        <w:rPr>
          <w:lang w:val="en-US"/>
        </w:rPr>
      </w:pPr>
      <w:r w:rsidRPr="00A66D21">
        <w:rPr>
          <w:lang w:val="en-US"/>
        </w:rPr>
        <w:t>protect the individual's rights to privacy.</w:t>
      </w:r>
    </w:p>
    <w:p w14:paraId="0CDF9589" w14:textId="03C213C7" w:rsidR="00A66D21" w:rsidRPr="00DE13BF" w:rsidRDefault="00A66D21" w:rsidP="00895388">
      <w:pPr>
        <w:pStyle w:val="EPMBullets"/>
        <w:rPr>
          <w:lang w:val="en-US"/>
        </w:rPr>
      </w:pPr>
      <w:r w:rsidRPr="00A66D21">
        <w:rPr>
          <w:lang w:val="en-US"/>
        </w:rPr>
        <w:t>provide an individual with access to all personal information held on them.</w:t>
      </w:r>
    </w:p>
    <w:p w14:paraId="05EE55ED" w14:textId="4D673EC3" w:rsidR="00A66D21" w:rsidRPr="00A66D21" w:rsidRDefault="00A66D21" w:rsidP="00A66FD9">
      <w:pPr>
        <w:pStyle w:val="EPMTextstyle"/>
        <w:ind w:left="851"/>
        <w:rPr>
          <w:lang w:val="en-US"/>
        </w:rPr>
      </w:pPr>
      <w:r w:rsidRPr="00A66D21">
        <w:rPr>
          <w:lang w:val="en-US"/>
        </w:rPr>
        <w:t xml:space="preserve">The Governing Body/Trustees have a legal responsibility to comply with </w:t>
      </w:r>
      <w:r w:rsidRPr="00A66D21">
        <w:rPr>
          <w:rFonts w:eastAsia="Times New Roman"/>
        </w:rPr>
        <w:t xml:space="preserve">the law, including the General Data Protection Regulation. </w:t>
      </w:r>
      <w:r w:rsidRPr="00A66D21">
        <w:rPr>
          <w:lang w:val="en-US"/>
        </w:rPr>
        <w:t>The individual with overall responsibility for this policy is the Data Protection Officer.</w:t>
      </w:r>
    </w:p>
    <w:p w14:paraId="236306E4" w14:textId="77777777" w:rsidR="00A66D21" w:rsidRPr="00A66D21" w:rsidRDefault="00A66D21" w:rsidP="00A66FD9">
      <w:pPr>
        <w:pStyle w:val="EPMTextstyle"/>
        <w:ind w:left="851"/>
        <w:rPr>
          <w:lang w:val="en-US"/>
        </w:rPr>
      </w:pPr>
      <w:r w:rsidRPr="00A66D21">
        <w:rPr>
          <w:lang w:val="en-US"/>
        </w:rPr>
        <w:t xml:space="preserve">The Governing Body/Trustees are required to notify the Information Commissioner of the </w:t>
      </w:r>
      <w:r w:rsidRPr="00A66D21">
        <w:t>processing</w:t>
      </w:r>
      <w:r w:rsidRPr="00A66D21">
        <w:rPr>
          <w:lang w:val="en-US"/>
        </w:rPr>
        <w:t xml:space="preserve"> of </w:t>
      </w:r>
      <w:r w:rsidRPr="00A66D21">
        <w:t>personal data; this is included in a public register. The public register of data controllers is available</w:t>
      </w:r>
      <w:r w:rsidRPr="00A66D21">
        <w:rPr>
          <w:lang w:val="en-US"/>
        </w:rPr>
        <w:t xml:space="preserve"> on the Information Commissioner's website.</w:t>
      </w:r>
    </w:p>
    <w:p w14:paraId="290C2F99" w14:textId="77777777" w:rsidR="00A66D21" w:rsidRPr="00A66D21" w:rsidRDefault="00A66D21" w:rsidP="00A66FD9">
      <w:pPr>
        <w:pStyle w:val="EPMTextstyle"/>
        <w:ind w:left="851"/>
        <w:rPr>
          <w:lang w:val="en-US"/>
        </w:rPr>
      </w:pPr>
      <w:r w:rsidRPr="00A66D21">
        <w:rPr>
          <w:lang w:val="en-US"/>
        </w:rPr>
        <w:t xml:space="preserve">The Governing Body/Trustees’ Data Protection Officer is responsible for drawing up guidance on good data </w:t>
      </w:r>
      <w:r w:rsidRPr="00A66D21">
        <w:t>protection</w:t>
      </w:r>
      <w:r w:rsidRPr="00A66D21">
        <w:rPr>
          <w:lang w:val="en-US"/>
        </w:rPr>
        <w:t xml:space="preserve"> practice and promoting compliance with the guidance through advising employees on the creation, maintenance, storage and retention of their records which contain personal information.</w:t>
      </w:r>
    </w:p>
    <w:p w14:paraId="538AC118" w14:textId="382EA776" w:rsidR="00A66D21" w:rsidRPr="00302B57" w:rsidRDefault="00A66D21" w:rsidP="00A66FD9">
      <w:pPr>
        <w:pStyle w:val="EPMTextstyle"/>
        <w:ind w:left="851"/>
        <w:rPr>
          <w:b/>
          <w:bCs/>
          <w:lang w:val="en-US"/>
        </w:rPr>
      </w:pPr>
      <w:r w:rsidRPr="00A66D21">
        <w:rPr>
          <w:lang w:val="en-US"/>
        </w:rPr>
        <w:t xml:space="preserve">Every employee that holds, or has access to, information about identifiable living individuals must comply with data protection legislation in managing that information. </w:t>
      </w:r>
      <w:r w:rsidRPr="00A66D21">
        <w:t xml:space="preserve">All employees are responsible for acting in accordance with the policies, procedures and guidelines and within the provisions of the </w:t>
      </w:r>
      <w:r w:rsidR="000E39D7">
        <w:t xml:space="preserve">UK </w:t>
      </w:r>
      <w:r w:rsidRPr="00A66D21">
        <w:t xml:space="preserve">General Data Protection Regulation. </w:t>
      </w:r>
      <w:r w:rsidRPr="00302B57">
        <w:rPr>
          <w:b/>
          <w:bCs/>
          <w:lang w:val="en-US"/>
        </w:rPr>
        <w:t>Individuals may be liable for breaches of the Regulation.</w:t>
      </w:r>
    </w:p>
    <w:p w14:paraId="0D1E9E9F" w14:textId="77777777" w:rsidR="00A66D21" w:rsidRPr="00A66D21" w:rsidRDefault="00A66D21" w:rsidP="00A66D21">
      <w:pPr>
        <w:ind w:left="709"/>
        <w:rPr>
          <w:rFonts w:ascii="Franklin Gothic Medium" w:eastAsiaTheme="majorEastAsia" w:hAnsi="Franklin Gothic Medium" w:cstheme="majorBidi"/>
          <w:color w:val="0077C8"/>
          <w:szCs w:val="26"/>
        </w:rPr>
      </w:pPr>
      <w:bookmarkStart w:id="1" w:name="_Toc508002903"/>
      <w:r w:rsidRPr="00A66D21">
        <w:br w:type="page"/>
      </w:r>
    </w:p>
    <w:p w14:paraId="6AB7F8A0" w14:textId="77777777" w:rsidR="00A66D21" w:rsidRPr="00A66FD9" w:rsidRDefault="00A66D21" w:rsidP="00A66FD9">
      <w:pPr>
        <w:pStyle w:val="EPMNumberedHeading"/>
        <w:ind w:left="851" w:hanging="851"/>
      </w:pPr>
      <w:r w:rsidRPr="00A66FD9">
        <w:lastRenderedPageBreak/>
        <w:t>Definitions</w:t>
      </w:r>
      <w:bookmarkEnd w:id="1"/>
    </w:p>
    <w:p w14:paraId="2EC9FB2D" w14:textId="77777777" w:rsidR="00A66D21" w:rsidRPr="00A66D21" w:rsidRDefault="00A66D21" w:rsidP="00A66FD9">
      <w:pPr>
        <w:pStyle w:val="EPMTextstyle"/>
        <w:ind w:left="850"/>
        <w:rPr>
          <w:lang w:val="en-US"/>
        </w:rPr>
      </w:pPr>
      <w:r w:rsidRPr="00A66D21">
        <w:rPr>
          <w:lang w:val="en-US"/>
        </w:rPr>
        <w:t>In this policy, unless otherwise stated or unless the context otherwise requires, each term will have the meaning set out below:</w:t>
      </w:r>
    </w:p>
    <w:p w14:paraId="15B5BA27" w14:textId="77777777" w:rsidR="00A66D21" w:rsidRPr="00A66D21" w:rsidRDefault="00A66D21" w:rsidP="00A66FD9">
      <w:pPr>
        <w:pStyle w:val="EPMTextstyle"/>
        <w:ind w:left="850"/>
        <w:rPr>
          <w:lang w:val="en-US"/>
        </w:rPr>
      </w:pPr>
      <w:r w:rsidRPr="00E912BA">
        <w:rPr>
          <w:b/>
          <w:bCs/>
          <w:lang w:val="en-US"/>
        </w:rPr>
        <w:t>Data protection</w:t>
      </w:r>
      <w:r w:rsidRPr="00A66D21">
        <w:rPr>
          <w:lang w:val="en-US"/>
        </w:rPr>
        <w:t xml:space="preserve"> means practices and operations relating to the fair and lawful treatment of Personal Data and an understanding of the regulatory requirements relating to data privacy.</w:t>
      </w:r>
    </w:p>
    <w:p w14:paraId="77B3249C" w14:textId="77777777" w:rsidR="00A66D21" w:rsidRPr="00A66D21" w:rsidRDefault="00A66D21" w:rsidP="00A66FD9">
      <w:pPr>
        <w:pStyle w:val="EPMTextstyle"/>
        <w:ind w:left="850"/>
        <w:rPr>
          <w:lang w:val="en-US"/>
        </w:rPr>
      </w:pPr>
      <w:bookmarkStart w:id="2" w:name="scope"/>
      <w:bookmarkEnd w:id="2"/>
      <w:r w:rsidRPr="00E912BA">
        <w:rPr>
          <w:b/>
          <w:bCs/>
          <w:lang w:val="en-US"/>
        </w:rPr>
        <w:t>Personal data</w:t>
      </w:r>
      <w:r w:rsidRPr="00A66D21">
        <w:rPr>
          <w:lang w:val="en-US"/>
        </w:rPr>
        <w:t xml:space="preserve"> is data which relates to a living individual </w:t>
      </w:r>
      <w:r w:rsidRPr="00A66D21">
        <w:t>who</w:t>
      </w:r>
      <w:r w:rsidRPr="00A66D21">
        <w:rPr>
          <w:lang w:val="en-US"/>
        </w:rPr>
        <w:t xml:space="preserve"> can be identified:</w:t>
      </w:r>
    </w:p>
    <w:p w14:paraId="2E906896" w14:textId="77777777" w:rsidR="00A66D21" w:rsidRPr="003758FB" w:rsidRDefault="00A66D21" w:rsidP="00A66FD9">
      <w:pPr>
        <w:pStyle w:val="EPMBullets"/>
        <w:tabs>
          <w:tab w:val="clear" w:pos="851"/>
        </w:tabs>
        <w:ind w:left="1276" w:hanging="425"/>
      </w:pPr>
      <w:r w:rsidRPr="003758FB">
        <w:t xml:space="preserve">from this data; or </w:t>
      </w:r>
    </w:p>
    <w:p w14:paraId="75091C54" w14:textId="1E7D3E17" w:rsidR="00A66D21" w:rsidRPr="003758FB" w:rsidRDefault="00A66D21" w:rsidP="00A66FD9">
      <w:pPr>
        <w:pStyle w:val="EPMBullets"/>
        <w:tabs>
          <w:tab w:val="clear" w:pos="851"/>
        </w:tabs>
        <w:ind w:left="1276" w:hanging="425"/>
      </w:pPr>
      <w:r w:rsidRPr="003758FB">
        <w:t>from this data and other information, which is in the possession of</w:t>
      </w:r>
    </w:p>
    <w:p w14:paraId="7990BA8C" w14:textId="77777777" w:rsidR="00A66D21" w:rsidRPr="003758FB" w:rsidRDefault="00A66D21" w:rsidP="00E912BA">
      <w:pPr>
        <w:pStyle w:val="EPMBullets"/>
        <w:numPr>
          <w:ilvl w:val="0"/>
          <w:numId w:val="0"/>
        </w:numPr>
        <w:tabs>
          <w:tab w:val="clear" w:pos="851"/>
        </w:tabs>
        <w:ind w:left="851"/>
      </w:pPr>
      <w:r w:rsidRPr="003758FB">
        <w:t xml:space="preserve">Examples of personal data can include, but are not limited to: </w:t>
      </w:r>
    </w:p>
    <w:p w14:paraId="40518CC3" w14:textId="77777777" w:rsidR="00A66D21" w:rsidRPr="003758FB" w:rsidRDefault="00A66D21" w:rsidP="00A66FD9">
      <w:pPr>
        <w:pStyle w:val="EPMBullets"/>
        <w:tabs>
          <w:tab w:val="clear" w:pos="851"/>
        </w:tabs>
        <w:ind w:left="1276" w:hanging="425"/>
      </w:pPr>
      <w:r w:rsidRPr="003758FB">
        <w:t xml:space="preserve">names </w:t>
      </w:r>
    </w:p>
    <w:p w14:paraId="1391F114" w14:textId="77777777" w:rsidR="00A66D21" w:rsidRPr="003758FB" w:rsidRDefault="00A66D21" w:rsidP="00A66FD9">
      <w:pPr>
        <w:pStyle w:val="EPMBullets"/>
        <w:tabs>
          <w:tab w:val="clear" w:pos="851"/>
        </w:tabs>
        <w:ind w:left="1276" w:hanging="425"/>
      </w:pPr>
      <w:r w:rsidRPr="003758FB">
        <w:t xml:space="preserve">addresses </w:t>
      </w:r>
    </w:p>
    <w:p w14:paraId="60DA56BE" w14:textId="77777777" w:rsidR="00A66D21" w:rsidRPr="003758FB" w:rsidRDefault="00A66D21" w:rsidP="00A66FD9">
      <w:pPr>
        <w:pStyle w:val="EPMBullets"/>
        <w:tabs>
          <w:tab w:val="clear" w:pos="851"/>
        </w:tabs>
        <w:ind w:left="1276" w:hanging="425"/>
      </w:pPr>
      <w:r w:rsidRPr="003758FB">
        <w:t xml:space="preserve">telephone numbers </w:t>
      </w:r>
    </w:p>
    <w:p w14:paraId="333EA5FE" w14:textId="77777777" w:rsidR="00A66D21" w:rsidRPr="003758FB" w:rsidRDefault="00A66D21" w:rsidP="00A66FD9">
      <w:pPr>
        <w:pStyle w:val="EPMBullets"/>
        <w:tabs>
          <w:tab w:val="clear" w:pos="851"/>
        </w:tabs>
        <w:ind w:left="1276" w:hanging="425"/>
      </w:pPr>
      <w:r w:rsidRPr="003758FB">
        <w:t>dates of birth</w:t>
      </w:r>
    </w:p>
    <w:p w14:paraId="0572DB7E" w14:textId="77777777" w:rsidR="00A66D21" w:rsidRPr="003758FB" w:rsidRDefault="00A66D21" w:rsidP="00A66FD9">
      <w:pPr>
        <w:pStyle w:val="EPMBullets"/>
        <w:tabs>
          <w:tab w:val="clear" w:pos="851"/>
        </w:tabs>
        <w:ind w:left="1276" w:hanging="425"/>
      </w:pPr>
      <w:r w:rsidRPr="003758FB">
        <w:t xml:space="preserve">National Insurance numbers </w:t>
      </w:r>
    </w:p>
    <w:p w14:paraId="225B1890" w14:textId="77777777" w:rsidR="00A66D21" w:rsidRPr="003758FB" w:rsidRDefault="00A66D21" w:rsidP="00A66FD9">
      <w:pPr>
        <w:pStyle w:val="EPMBullets"/>
        <w:tabs>
          <w:tab w:val="clear" w:pos="851"/>
        </w:tabs>
        <w:ind w:left="1276" w:hanging="425"/>
      </w:pPr>
      <w:r w:rsidRPr="003758FB">
        <w:t xml:space="preserve">employee numbers </w:t>
      </w:r>
    </w:p>
    <w:p w14:paraId="1BCA1119" w14:textId="77777777" w:rsidR="00A66D21" w:rsidRPr="003758FB" w:rsidRDefault="00A66D21" w:rsidP="00A66FD9">
      <w:pPr>
        <w:pStyle w:val="EPMBullets"/>
        <w:tabs>
          <w:tab w:val="clear" w:pos="851"/>
        </w:tabs>
        <w:ind w:left="1276" w:hanging="425"/>
      </w:pPr>
      <w:r w:rsidRPr="003758FB">
        <w:t xml:space="preserve">named email addresses </w:t>
      </w:r>
    </w:p>
    <w:p w14:paraId="31FEBC2E" w14:textId="77777777" w:rsidR="00A66D21" w:rsidRPr="003758FB" w:rsidRDefault="00A66D21" w:rsidP="00A66FD9">
      <w:pPr>
        <w:pStyle w:val="EPMBullets"/>
        <w:tabs>
          <w:tab w:val="clear" w:pos="851"/>
        </w:tabs>
        <w:ind w:left="1276" w:hanging="425"/>
      </w:pPr>
      <w:r w:rsidRPr="003758FB">
        <w:t xml:space="preserve">account details </w:t>
      </w:r>
    </w:p>
    <w:p w14:paraId="14861139" w14:textId="77777777" w:rsidR="00A66D21" w:rsidRPr="003758FB" w:rsidRDefault="00A66D21" w:rsidP="00A66FD9">
      <w:pPr>
        <w:pStyle w:val="EPMBullets"/>
        <w:tabs>
          <w:tab w:val="clear" w:pos="851"/>
        </w:tabs>
        <w:ind w:left="1276" w:hanging="425"/>
      </w:pPr>
      <w:r w:rsidRPr="003758FB">
        <w:t xml:space="preserve">CCTV images </w:t>
      </w:r>
    </w:p>
    <w:p w14:paraId="764F6962" w14:textId="77777777" w:rsidR="00A66D21" w:rsidRPr="003758FB" w:rsidRDefault="00A66D21" w:rsidP="00A66FD9">
      <w:pPr>
        <w:pStyle w:val="EPMBullets"/>
        <w:tabs>
          <w:tab w:val="clear" w:pos="851"/>
        </w:tabs>
        <w:ind w:left="1276" w:hanging="425"/>
      </w:pPr>
      <w:r w:rsidRPr="003758FB">
        <w:t xml:space="preserve">photographs </w:t>
      </w:r>
    </w:p>
    <w:p w14:paraId="5F8ABED9" w14:textId="77777777" w:rsidR="00A66D21" w:rsidRPr="003758FB" w:rsidRDefault="00A66D21" w:rsidP="00A66FD9">
      <w:pPr>
        <w:pStyle w:val="EPMBullets"/>
        <w:tabs>
          <w:tab w:val="clear" w:pos="851"/>
        </w:tabs>
        <w:ind w:left="1276" w:hanging="425"/>
      </w:pPr>
      <w:r w:rsidRPr="003758FB">
        <w:t xml:space="preserve">personal opinions </w:t>
      </w:r>
    </w:p>
    <w:p w14:paraId="68C87A8C" w14:textId="77777777" w:rsidR="00A66D21" w:rsidRPr="003758FB" w:rsidRDefault="00A66D21" w:rsidP="00A66FD9">
      <w:pPr>
        <w:pStyle w:val="EPMBullets"/>
        <w:tabs>
          <w:tab w:val="clear" w:pos="851"/>
        </w:tabs>
        <w:ind w:left="1276" w:hanging="425"/>
      </w:pPr>
      <w:r w:rsidRPr="003758FB">
        <w:t xml:space="preserve">internet browsing history </w:t>
      </w:r>
    </w:p>
    <w:p w14:paraId="6E124664" w14:textId="77777777" w:rsidR="00A66D21" w:rsidRPr="003758FB" w:rsidRDefault="00A66D21" w:rsidP="00A66FD9">
      <w:pPr>
        <w:pStyle w:val="EPMBullets"/>
        <w:tabs>
          <w:tab w:val="clear" w:pos="851"/>
        </w:tabs>
        <w:ind w:left="1276" w:hanging="425"/>
      </w:pPr>
      <w:r w:rsidRPr="003758FB">
        <w:t xml:space="preserve">static/dynamic IP addresses </w:t>
      </w:r>
    </w:p>
    <w:p w14:paraId="4E235BFE" w14:textId="77777777" w:rsidR="00A66D21" w:rsidRPr="003758FB" w:rsidRDefault="00A66D21" w:rsidP="00453A4A">
      <w:pPr>
        <w:pStyle w:val="EPMBullets"/>
        <w:numPr>
          <w:ilvl w:val="0"/>
          <w:numId w:val="0"/>
        </w:numPr>
        <w:tabs>
          <w:tab w:val="clear" w:pos="851"/>
        </w:tabs>
        <w:ind w:left="851"/>
      </w:pPr>
      <w:r w:rsidRPr="00453A4A">
        <w:rPr>
          <w:b/>
          <w:bCs/>
        </w:rPr>
        <w:t>Special Categories of personal data</w:t>
      </w:r>
      <w:r w:rsidRPr="003758FB">
        <w:t xml:space="preserve"> (also known as sensitive personal data) includes:</w:t>
      </w:r>
    </w:p>
    <w:p w14:paraId="3D8D0E3E" w14:textId="14501E65" w:rsidR="00A66D21" w:rsidRPr="00A66D21" w:rsidRDefault="00A66D21" w:rsidP="00A66FD9">
      <w:pPr>
        <w:pStyle w:val="EPMBullets"/>
        <w:tabs>
          <w:tab w:val="clear" w:pos="851"/>
        </w:tabs>
        <w:ind w:left="1276" w:hanging="425"/>
      </w:pPr>
      <w:r w:rsidRPr="00A66D21">
        <w:t>racial or ethnic origin.</w:t>
      </w:r>
    </w:p>
    <w:p w14:paraId="67683ABC" w14:textId="1306F804" w:rsidR="00A66D21" w:rsidRPr="00A66D21" w:rsidRDefault="00A66D21" w:rsidP="00A66FD9">
      <w:pPr>
        <w:pStyle w:val="EPMBullets"/>
        <w:tabs>
          <w:tab w:val="clear" w:pos="851"/>
        </w:tabs>
        <w:ind w:left="1276" w:hanging="425"/>
      </w:pPr>
      <w:r w:rsidRPr="00A66D21">
        <w:t>political opinions.</w:t>
      </w:r>
    </w:p>
    <w:p w14:paraId="24A232D0" w14:textId="099DE4F1" w:rsidR="00A66D21" w:rsidRPr="00A66D21" w:rsidRDefault="00A66D21" w:rsidP="00A66FD9">
      <w:pPr>
        <w:pStyle w:val="EPMBullets"/>
        <w:tabs>
          <w:tab w:val="clear" w:pos="851"/>
        </w:tabs>
        <w:ind w:left="1276" w:hanging="425"/>
      </w:pPr>
      <w:r w:rsidRPr="00A66D21">
        <w:t>religious or philosophical beliefs.</w:t>
      </w:r>
    </w:p>
    <w:p w14:paraId="7D841A58" w14:textId="75BCC7F8" w:rsidR="00A66D21" w:rsidRPr="00A66D21" w:rsidRDefault="00A66D21" w:rsidP="00A66FD9">
      <w:pPr>
        <w:pStyle w:val="EPMBullets"/>
        <w:tabs>
          <w:tab w:val="clear" w:pos="851"/>
        </w:tabs>
        <w:ind w:left="1276" w:hanging="425"/>
      </w:pPr>
      <w:r w:rsidRPr="00A66D21">
        <w:t>trade union membership.</w:t>
      </w:r>
    </w:p>
    <w:p w14:paraId="4FF3986E" w14:textId="3788782B" w:rsidR="00A66D21" w:rsidRPr="00A66D21" w:rsidRDefault="00A66D21" w:rsidP="00A66FD9">
      <w:pPr>
        <w:pStyle w:val="EPMBullets"/>
        <w:tabs>
          <w:tab w:val="clear" w:pos="851"/>
        </w:tabs>
        <w:ind w:left="1276" w:hanging="425"/>
      </w:pPr>
      <w:r w:rsidRPr="00A66D21">
        <w:t>the processing of genetic data.</w:t>
      </w:r>
    </w:p>
    <w:p w14:paraId="4F2B948B" w14:textId="1D362EC9" w:rsidR="00A66D21" w:rsidRPr="00A66D21" w:rsidRDefault="00A66D21" w:rsidP="00A66FD9">
      <w:pPr>
        <w:pStyle w:val="EPMBullets"/>
        <w:tabs>
          <w:tab w:val="clear" w:pos="851"/>
        </w:tabs>
        <w:ind w:left="1276" w:hanging="425"/>
      </w:pPr>
      <w:r w:rsidRPr="00A66D21">
        <w:t>biometric data for uniquely identifying an individual.</w:t>
      </w:r>
    </w:p>
    <w:p w14:paraId="55EE7781" w14:textId="44F58BDF" w:rsidR="00A66D21" w:rsidRPr="00A66D21" w:rsidRDefault="00A66D21" w:rsidP="00A66FD9">
      <w:pPr>
        <w:pStyle w:val="EPMBullets"/>
        <w:tabs>
          <w:tab w:val="clear" w:pos="851"/>
        </w:tabs>
        <w:ind w:left="1276" w:hanging="425"/>
      </w:pPr>
      <w:r w:rsidRPr="00A66D21">
        <w:t xml:space="preserve">data concerning health or data concerning an individual’s sex life. </w:t>
      </w:r>
    </w:p>
    <w:p w14:paraId="386B75FE" w14:textId="1A6E91B2" w:rsidR="00A66D21" w:rsidRPr="00A66D21" w:rsidRDefault="00A66D21" w:rsidP="00A66FD9">
      <w:pPr>
        <w:pStyle w:val="EPMBullets"/>
        <w:tabs>
          <w:tab w:val="clear" w:pos="851"/>
        </w:tabs>
        <w:ind w:left="1276" w:hanging="425"/>
      </w:pPr>
      <w:r w:rsidRPr="00A66D21">
        <w:t>sexual orientation</w:t>
      </w:r>
      <w:r w:rsidR="00A73058">
        <w:t>.</w:t>
      </w:r>
      <w:r w:rsidRPr="00A66D21">
        <w:t xml:space="preserve"> </w:t>
      </w:r>
    </w:p>
    <w:p w14:paraId="0D9A5ADB" w14:textId="77777777" w:rsidR="00A66D21" w:rsidRPr="00A66D21" w:rsidRDefault="00A66D21" w:rsidP="00A66FD9">
      <w:pPr>
        <w:pStyle w:val="EPMBullets"/>
        <w:tabs>
          <w:tab w:val="clear" w:pos="851"/>
        </w:tabs>
        <w:ind w:left="1276" w:hanging="425"/>
      </w:pPr>
      <w:r w:rsidRPr="00A66D21">
        <w:t>medical information.</w:t>
      </w:r>
    </w:p>
    <w:p w14:paraId="759C4545" w14:textId="77777777" w:rsidR="00A66D21" w:rsidRPr="000A3077" w:rsidRDefault="00A66D21" w:rsidP="00A66FD9">
      <w:pPr>
        <w:pStyle w:val="EPMTextstyle"/>
        <w:ind w:left="850"/>
      </w:pPr>
      <w:r w:rsidRPr="000A3077">
        <w:t>Additionally, although not sensitive under data protection legislation, financial data and information relating to criminal convictions should also be treated with additional safeguards due to their associated risks.</w:t>
      </w:r>
    </w:p>
    <w:p w14:paraId="071A4D60" w14:textId="77777777" w:rsidR="00A66D21" w:rsidRPr="000A3077" w:rsidRDefault="00A66D21" w:rsidP="00A66FD9">
      <w:pPr>
        <w:pStyle w:val="EPMTextstyle"/>
        <w:ind w:left="850"/>
      </w:pPr>
      <w:r w:rsidRPr="00A73058">
        <w:rPr>
          <w:b/>
          <w:bCs/>
        </w:rPr>
        <w:lastRenderedPageBreak/>
        <w:t>Data processing</w:t>
      </w:r>
      <w:r w:rsidRPr="000A3077">
        <w:t xml:space="preserve"> in relation to information or data, means obtaining, recording or holding the information/data or carrying out any operation or set of operations on the information/data, including:</w:t>
      </w:r>
    </w:p>
    <w:p w14:paraId="1716FF2B" w14:textId="79F4C1C4" w:rsidR="00A66D21" w:rsidRPr="0059350D" w:rsidRDefault="00A66D21" w:rsidP="00A66FD9">
      <w:pPr>
        <w:pStyle w:val="EPMBullets"/>
        <w:tabs>
          <w:tab w:val="clear" w:pos="851"/>
        </w:tabs>
        <w:ind w:left="1276" w:hanging="425"/>
        <w:rPr>
          <w:lang w:val="en-US"/>
        </w:rPr>
      </w:pPr>
      <w:r w:rsidRPr="00116AA6">
        <w:t>organisation</w:t>
      </w:r>
      <w:r w:rsidRPr="0059350D">
        <w:rPr>
          <w:lang w:val="en-US"/>
        </w:rPr>
        <w:t xml:space="preserve">, </w:t>
      </w:r>
      <w:r w:rsidR="00751A9B" w:rsidRPr="0059350D">
        <w:rPr>
          <w:lang w:val="en-US"/>
        </w:rPr>
        <w:t>adaptation,</w:t>
      </w:r>
      <w:r w:rsidRPr="0059350D">
        <w:rPr>
          <w:lang w:val="en-US"/>
        </w:rPr>
        <w:t xml:space="preserve"> or alteration of the information</w:t>
      </w:r>
      <w:r>
        <w:rPr>
          <w:lang w:val="en-US"/>
        </w:rPr>
        <w:t>/</w:t>
      </w:r>
      <w:r w:rsidR="00751A9B" w:rsidRPr="0059350D">
        <w:rPr>
          <w:lang w:val="en-US"/>
        </w:rPr>
        <w:t>data.</w:t>
      </w:r>
      <w:r w:rsidRPr="0059350D">
        <w:rPr>
          <w:lang w:val="en-US"/>
        </w:rPr>
        <w:t xml:space="preserve"> </w:t>
      </w:r>
    </w:p>
    <w:p w14:paraId="6847DD4D" w14:textId="348307B4" w:rsidR="00A66D21" w:rsidRPr="0059350D" w:rsidRDefault="00A66D21" w:rsidP="00A66FD9">
      <w:pPr>
        <w:pStyle w:val="EPMBullets"/>
        <w:tabs>
          <w:tab w:val="clear" w:pos="851"/>
        </w:tabs>
        <w:ind w:left="1276" w:hanging="425"/>
        <w:rPr>
          <w:lang w:val="en-US"/>
        </w:rPr>
      </w:pPr>
      <w:r w:rsidRPr="0059350D">
        <w:rPr>
          <w:lang w:val="en-US"/>
        </w:rPr>
        <w:t>retrieval, consultation or use of the information</w:t>
      </w:r>
      <w:r>
        <w:rPr>
          <w:lang w:val="en-US"/>
        </w:rPr>
        <w:t>/</w:t>
      </w:r>
      <w:r w:rsidR="00751A9B" w:rsidRPr="0059350D">
        <w:rPr>
          <w:lang w:val="en-US"/>
        </w:rPr>
        <w:t>data.</w:t>
      </w:r>
      <w:r w:rsidRPr="0059350D">
        <w:rPr>
          <w:lang w:val="en-US"/>
        </w:rPr>
        <w:t xml:space="preserve"> </w:t>
      </w:r>
    </w:p>
    <w:p w14:paraId="2801B428" w14:textId="2E4057DA" w:rsidR="00A66D21" w:rsidRPr="0059350D" w:rsidRDefault="00A66D21" w:rsidP="00A66FD9">
      <w:pPr>
        <w:pStyle w:val="EPMBullets"/>
        <w:tabs>
          <w:tab w:val="clear" w:pos="851"/>
        </w:tabs>
        <w:ind w:left="1276" w:hanging="425"/>
        <w:rPr>
          <w:lang w:val="en-US"/>
        </w:rPr>
      </w:pPr>
      <w:r w:rsidRPr="0059350D">
        <w:rPr>
          <w:lang w:val="en-US"/>
        </w:rPr>
        <w:t xml:space="preserve">disclosure of the information or data by transmission, dissemination or otherwise making </w:t>
      </w:r>
      <w:r w:rsidR="00751A9B" w:rsidRPr="0059350D">
        <w:rPr>
          <w:lang w:val="en-US"/>
        </w:rPr>
        <w:t>available.</w:t>
      </w:r>
      <w:r w:rsidRPr="0059350D">
        <w:rPr>
          <w:lang w:val="en-US"/>
        </w:rPr>
        <w:t xml:space="preserve"> </w:t>
      </w:r>
    </w:p>
    <w:p w14:paraId="64692C8F" w14:textId="77777777" w:rsidR="00A66D21" w:rsidRPr="0059350D" w:rsidRDefault="00A66D21" w:rsidP="00A66FD9">
      <w:pPr>
        <w:pStyle w:val="EPMBullets"/>
        <w:tabs>
          <w:tab w:val="clear" w:pos="851"/>
        </w:tabs>
        <w:ind w:left="1276" w:hanging="425"/>
        <w:rPr>
          <w:lang w:val="en-US"/>
        </w:rPr>
      </w:pPr>
      <w:r w:rsidRPr="0059350D">
        <w:rPr>
          <w:lang w:val="en-US"/>
        </w:rPr>
        <w:t xml:space="preserve">alignment, combination, blocking, erasure or destruction of the information or data; or </w:t>
      </w:r>
    </w:p>
    <w:p w14:paraId="31DF5579" w14:textId="77777777" w:rsidR="00A66D21" w:rsidRPr="0059350D" w:rsidRDefault="00A66D21" w:rsidP="00A66FD9">
      <w:pPr>
        <w:pStyle w:val="EPMBullets"/>
        <w:tabs>
          <w:tab w:val="clear" w:pos="851"/>
        </w:tabs>
        <w:ind w:left="1276" w:hanging="425"/>
        <w:rPr>
          <w:lang w:val="en-US"/>
        </w:rPr>
      </w:pPr>
      <w:r w:rsidRPr="0059350D">
        <w:rPr>
          <w:lang w:val="en-US"/>
        </w:rPr>
        <w:t>storage of information or data, whether electronically or manually (paper based).</w:t>
      </w:r>
    </w:p>
    <w:p w14:paraId="5FDECF88" w14:textId="77777777" w:rsidR="00A66D21" w:rsidRPr="00751A9B" w:rsidRDefault="00A66D21" w:rsidP="00A66FD9">
      <w:pPr>
        <w:pStyle w:val="EPMTextstyle"/>
        <w:tabs>
          <w:tab w:val="clear" w:pos="284"/>
          <w:tab w:val="clear" w:pos="567"/>
        </w:tabs>
        <w:ind w:left="850"/>
        <w:rPr>
          <w:color w:val="000000" w:themeColor="text1"/>
          <w:lang w:val="en-US"/>
        </w:rPr>
      </w:pPr>
      <w:r w:rsidRPr="00A73058">
        <w:rPr>
          <w:b/>
          <w:bCs/>
          <w:color w:val="000000" w:themeColor="text1"/>
          <w:lang w:val="en-US"/>
        </w:rPr>
        <w:t>Data subject</w:t>
      </w:r>
      <w:r w:rsidRPr="00751A9B">
        <w:rPr>
          <w:color w:val="000000" w:themeColor="text1"/>
          <w:lang w:val="en-US"/>
        </w:rPr>
        <w:t xml:space="preserve"> an </w:t>
      </w:r>
      <w:r w:rsidRPr="00751A9B">
        <w:rPr>
          <w:color w:val="000000" w:themeColor="text1"/>
        </w:rPr>
        <w:t>individual</w:t>
      </w:r>
      <w:r w:rsidRPr="00751A9B">
        <w:rPr>
          <w:color w:val="000000" w:themeColor="text1"/>
          <w:lang w:val="en-US"/>
        </w:rPr>
        <w:t xml:space="preserve"> who is the subject of personal data.</w:t>
      </w:r>
    </w:p>
    <w:p w14:paraId="01CC86AD" w14:textId="77777777" w:rsidR="00A66D21" w:rsidRPr="00751A9B" w:rsidRDefault="00A66D21" w:rsidP="00A66FD9">
      <w:pPr>
        <w:pStyle w:val="EPMTextstyle"/>
        <w:tabs>
          <w:tab w:val="clear" w:pos="284"/>
          <w:tab w:val="clear" w:pos="567"/>
        </w:tabs>
        <w:ind w:left="850"/>
        <w:rPr>
          <w:color w:val="000000" w:themeColor="text1"/>
          <w:lang w:val="en-US"/>
        </w:rPr>
      </w:pPr>
      <w:r w:rsidRPr="00A73058">
        <w:rPr>
          <w:b/>
          <w:bCs/>
          <w:color w:val="000000" w:themeColor="text1"/>
          <w:lang w:val="en-US"/>
        </w:rPr>
        <w:t>Data controller</w:t>
      </w:r>
      <w:r w:rsidRPr="00751A9B">
        <w:rPr>
          <w:color w:val="000000" w:themeColor="text1"/>
          <w:lang w:val="en-US"/>
        </w:rPr>
        <w:t xml:space="preserve"> means a </w:t>
      </w:r>
      <w:r w:rsidRPr="00751A9B">
        <w:rPr>
          <w:color w:val="000000" w:themeColor="text1"/>
        </w:rPr>
        <w:t>person</w:t>
      </w:r>
      <w:r w:rsidRPr="00751A9B">
        <w:rPr>
          <w:color w:val="000000" w:themeColor="text1"/>
          <w:lang w:val="en-US"/>
        </w:rPr>
        <w:t xml:space="preserve"> or </w:t>
      </w:r>
      <w:r w:rsidRPr="00751A9B">
        <w:rPr>
          <w:color w:val="000000" w:themeColor="text1"/>
        </w:rPr>
        <w:t>organisation</w:t>
      </w:r>
      <w:r w:rsidRPr="00751A9B">
        <w:rPr>
          <w:color w:val="000000" w:themeColor="text1"/>
          <w:lang w:val="en-US"/>
        </w:rPr>
        <w:t xml:space="preserve"> who (either alone or jointly or in common with other persons) determines the purposes for which and the way any personal data is, or is to be, processed.</w:t>
      </w:r>
    </w:p>
    <w:p w14:paraId="1E574E67" w14:textId="6D77D87B" w:rsidR="00A66D21" w:rsidRPr="00751A9B" w:rsidRDefault="00A66D21" w:rsidP="00A66FD9">
      <w:pPr>
        <w:pStyle w:val="EPMTextstyle"/>
        <w:tabs>
          <w:tab w:val="clear" w:pos="284"/>
          <w:tab w:val="clear" w:pos="567"/>
          <w:tab w:val="clear" w:pos="851"/>
        </w:tabs>
        <w:ind w:left="850"/>
        <w:rPr>
          <w:color w:val="000000" w:themeColor="text1"/>
          <w:lang w:val="en-US"/>
        </w:rPr>
      </w:pPr>
      <w:r w:rsidRPr="00A73058">
        <w:rPr>
          <w:b/>
          <w:bCs/>
          <w:color w:val="000000" w:themeColor="text1"/>
          <w:lang w:val="en-US"/>
        </w:rPr>
        <w:t>Data processor</w:t>
      </w:r>
      <w:r w:rsidRPr="00751A9B">
        <w:rPr>
          <w:color w:val="000000" w:themeColor="text1"/>
          <w:lang w:val="en-US"/>
        </w:rPr>
        <w:t xml:space="preserve"> in relation to </w:t>
      </w:r>
      <w:r w:rsidRPr="00751A9B">
        <w:rPr>
          <w:color w:val="000000" w:themeColor="text1"/>
        </w:rPr>
        <w:t>personal</w:t>
      </w:r>
      <w:r w:rsidRPr="00751A9B">
        <w:rPr>
          <w:color w:val="000000" w:themeColor="text1"/>
          <w:lang w:val="en-US"/>
        </w:rPr>
        <w:t xml:space="preserve"> data, means any person or </w:t>
      </w:r>
      <w:r w:rsidR="00751A9B" w:rsidRPr="00751A9B">
        <w:rPr>
          <w:color w:val="000000" w:themeColor="text1"/>
          <w:lang w:val="en-US"/>
        </w:rPr>
        <w:t>organization</w:t>
      </w:r>
      <w:r w:rsidRPr="00751A9B">
        <w:rPr>
          <w:color w:val="000000" w:themeColor="text1"/>
          <w:lang w:val="en-US"/>
        </w:rPr>
        <w:t xml:space="preserve"> (other than an employee of the data controller) who processes the data on behalf of the data controller.</w:t>
      </w:r>
    </w:p>
    <w:p w14:paraId="166777B3" w14:textId="77777777" w:rsidR="00A66D21" w:rsidRPr="00751A9B" w:rsidRDefault="00A66D21" w:rsidP="00A66FD9">
      <w:pPr>
        <w:pStyle w:val="EPMTextstyle"/>
        <w:tabs>
          <w:tab w:val="clear" w:pos="284"/>
          <w:tab w:val="clear" w:pos="567"/>
          <w:tab w:val="clear" w:pos="851"/>
        </w:tabs>
        <w:ind w:left="850"/>
        <w:rPr>
          <w:color w:val="000000" w:themeColor="text1"/>
          <w:lang w:val="en-US"/>
        </w:rPr>
      </w:pPr>
      <w:r w:rsidRPr="00A73058">
        <w:rPr>
          <w:b/>
          <w:bCs/>
          <w:color w:val="000000" w:themeColor="text1"/>
          <w:lang w:val="en-US"/>
        </w:rPr>
        <w:t>Relevant filing system</w:t>
      </w:r>
      <w:r w:rsidRPr="00751A9B">
        <w:rPr>
          <w:color w:val="000000" w:themeColor="text1"/>
          <w:lang w:val="en-US"/>
        </w:rPr>
        <w:t xml:space="preserve"> means any paper-based records which are structured in a way which is either:</w:t>
      </w:r>
    </w:p>
    <w:p w14:paraId="1A67D3F0" w14:textId="18234576" w:rsidR="00A66D21" w:rsidRPr="003758FB" w:rsidRDefault="00A66D21" w:rsidP="00A66FD9">
      <w:pPr>
        <w:pStyle w:val="EPMBullets"/>
        <w:tabs>
          <w:tab w:val="clear" w:pos="851"/>
        </w:tabs>
        <w:ind w:left="1275" w:hanging="425"/>
        <w:rPr>
          <w:lang w:val="en-US"/>
        </w:rPr>
      </w:pPr>
      <w:r w:rsidRPr="003758FB">
        <w:rPr>
          <w:lang w:val="en-US"/>
        </w:rPr>
        <w:t xml:space="preserve">By reference to the individual by name or </w:t>
      </w:r>
      <w:proofErr w:type="gramStart"/>
      <w:r w:rsidRPr="003758FB">
        <w:rPr>
          <w:lang w:val="en-US"/>
        </w:rPr>
        <w:t>code;</w:t>
      </w:r>
      <w:proofErr w:type="gramEnd"/>
    </w:p>
    <w:p w14:paraId="1C3A63B9" w14:textId="77777777" w:rsidR="00A66D21" w:rsidRPr="003758FB" w:rsidRDefault="00A66D21" w:rsidP="00A66FD9">
      <w:pPr>
        <w:pStyle w:val="EPMBullets"/>
        <w:tabs>
          <w:tab w:val="clear" w:pos="851"/>
        </w:tabs>
        <w:ind w:left="1275" w:hanging="425"/>
        <w:rPr>
          <w:lang w:val="en-US"/>
        </w:rPr>
      </w:pPr>
      <w:r w:rsidRPr="003758FB">
        <w:rPr>
          <w:lang w:val="en-US"/>
        </w:rPr>
        <w:t>By reference to criteria relating to individuals.</w:t>
      </w:r>
    </w:p>
    <w:p w14:paraId="07107944" w14:textId="77777777" w:rsidR="00A66D21" w:rsidRPr="0059350D" w:rsidRDefault="00A66D21" w:rsidP="00A66FD9">
      <w:pPr>
        <w:pStyle w:val="EPMNumberedHeading"/>
        <w:ind w:left="851" w:hanging="851"/>
      </w:pPr>
      <w:r w:rsidRPr="0059350D">
        <w:t>Obtaining Information</w:t>
      </w:r>
    </w:p>
    <w:p w14:paraId="1E08DD01" w14:textId="77777777" w:rsidR="00A66D21" w:rsidRPr="005D1780" w:rsidRDefault="00A66D21" w:rsidP="00A66FD9">
      <w:pPr>
        <w:pStyle w:val="EPMTextstyle"/>
        <w:ind w:left="850"/>
      </w:pPr>
      <w:r w:rsidRPr="005D1780">
        <w:t>The organisation will process data about employees for legal, administrative and management purposes and to enable us to meet our legal obligations as an employer, for example to pay you, monitor your performance and to confer benefits in connection with your employment.</w:t>
      </w:r>
    </w:p>
    <w:p w14:paraId="551324C9" w14:textId="77777777" w:rsidR="00A66D21" w:rsidRPr="00A73058" w:rsidRDefault="00A66D21" w:rsidP="00A66FD9">
      <w:pPr>
        <w:pStyle w:val="EPMTextstyle"/>
        <w:ind w:left="850"/>
        <w:rPr>
          <w:b/>
          <w:bCs/>
        </w:rPr>
      </w:pPr>
      <w:r w:rsidRPr="00A73058">
        <w:rPr>
          <w:b/>
          <w:bCs/>
        </w:rPr>
        <w:t>The organisation may process sensitive personal data relating to employees including, as appropriate:</w:t>
      </w:r>
    </w:p>
    <w:p w14:paraId="5A77206A" w14:textId="2B96331A" w:rsidR="00A66D21" w:rsidRPr="005D1780" w:rsidRDefault="00A66D21" w:rsidP="0059496C">
      <w:pPr>
        <w:pStyle w:val="EPMBullets"/>
      </w:pPr>
      <w:r w:rsidRPr="005D1780">
        <w:t xml:space="preserve">information about an employee's physical or mental health or condition </w:t>
      </w:r>
      <w:r w:rsidR="00F60B99" w:rsidRPr="005D1780">
        <w:t>to</w:t>
      </w:r>
      <w:r w:rsidRPr="005D1780">
        <w:t xml:space="preserve"> monitor sickness absence and take decisions as to the employee's fitness for </w:t>
      </w:r>
      <w:r w:rsidR="00F60B99" w:rsidRPr="005D1780">
        <w:t>work.</w:t>
      </w:r>
    </w:p>
    <w:p w14:paraId="272363D7" w14:textId="77777777" w:rsidR="00A66D21" w:rsidRPr="005D1780" w:rsidRDefault="00A66D21" w:rsidP="0059496C">
      <w:pPr>
        <w:pStyle w:val="EPMBullets"/>
      </w:pPr>
      <w:r w:rsidRPr="005D1780">
        <w:t xml:space="preserve">the employee's racial or ethnic origin or religious or similar information in order to monitor compliance with equal opportunities </w:t>
      </w:r>
      <w:proofErr w:type="gramStart"/>
      <w:r w:rsidRPr="005D1780">
        <w:t>legislation;</w:t>
      </w:r>
      <w:proofErr w:type="gramEnd"/>
    </w:p>
    <w:p w14:paraId="13BA0713" w14:textId="77777777" w:rsidR="00A66D21" w:rsidRPr="0058025F" w:rsidRDefault="00A66D21" w:rsidP="0059496C">
      <w:pPr>
        <w:pStyle w:val="EPMBullets"/>
      </w:pPr>
      <w:proofErr w:type="gramStart"/>
      <w:r w:rsidRPr="005D1780">
        <w:t>in order to</w:t>
      </w:r>
      <w:proofErr w:type="gramEnd"/>
      <w:r w:rsidRPr="005D1780">
        <w:t xml:space="preserve"> comply with legal requirements and obligations to third parties.</w:t>
      </w:r>
    </w:p>
    <w:p w14:paraId="62AE20D1" w14:textId="77777777" w:rsidR="00A66D21" w:rsidRPr="0059350D" w:rsidRDefault="00A66D21" w:rsidP="00A66FD9">
      <w:pPr>
        <w:pStyle w:val="EPMNumberedHeading"/>
        <w:ind w:left="851" w:hanging="851"/>
      </w:pPr>
      <w:bookmarkStart w:id="3" w:name="_Toc508002906"/>
      <w:r w:rsidRPr="0059350D">
        <w:t>Principles relating to processing of personal data</w:t>
      </w:r>
      <w:bookmarkEnd w:id="3"/>
    </w:p>
    <w:p w14:paraId="4D2DE59D" w14:textId="55E9B58F" w:rsidR="00A66D21" w:rsidRPr="0058025F" w:rsidRDefault="00A66D21" w:rsidP="00A66FD9">
      <w:pPr>
        <w:pStyle w:val="EPMTextstyle"/>
        <w:ind w:left="850"/>
      </w:pPr>
      <w:r>
        <w:t xml:space="preserve">In line with </w:t>
      </w:r>
      <w:r w:rsidR="25D37B2C">
        <w:t xml:space="preserve">UK </w:t>
      </w:r>
      <w:r>
        <w:t>GDPR, anyone processing personal data must comply with the following principles. It is our policy that personal data must be:</w:t>
      </w:r>
    </w:p>
    <w:p w14:paraId="74CEA341" w14:textId="77777777" w:rsidR="00A66D21" w:rsidRPr="00A66FD9" w:rsidRDefault="00A66D21" w:rsidP="00A66FD9">
      <w:pPr>
        <w:pStyle w:val="EPMBullets"/>
        <w:ind w:left="1276" w:hanging="425"/>
      </w:pPr>
      <w:r w:rsidRPr="00A66FD9">
        <w:t>processed lawfully, fairly and in a transparent manner (‘lawfulness, fairness and transparency’</w:t>
      </w:r>
      <w:proofErr w:type="gramStart"/>
      <w:r w:rsidRPr="00A66FD9">
        <w:t>);</w:t>
      </w:r>
      <w:proofErr w:type="gramEnd"/>
    </w:p>
    <w:p w14:paraId="3659F20B" w14:textId="77777777" w:rsidR="00A66D21" w:rsidRPr="00A66FD9" w:rsidRDefault="00A66D21" w:rsidP="00A66FD9">
      <w:pPr>
        <w:pStyle w:val="EPMBullets"/>
        <w:ind w:left="1276" w:hanging="425"/>
      </w:pPr>
      <w:r w:rsidRPr="00A66FD9">
        <w:t xml:space="preserve">collected for specified, explicit and legitimate purposes and not further processed in a manner that is incompatible with those </w:t>
      </w:r>
      <w:proofErr w:type="gramStart"/>
      <w:r w:rsidRPr="00A66FD9">
        <w:t>purposes;</w:t>
      </w:r>
      <w:proofErr w:type="gramEnd"/>
    </w:p>
    <w:p w14:paraId="33A76C89" w14:textId="77777777" w:rsidR="00A66D21" w:rsidRPr="00A66FD9" w:rsidRDefault="00A66D21" w:rsidP="00A66FD9">
      <w:pPr>
        <w:pStyle w:val="EPMBullets"/>
        <w:ind w:left="1276" w:hanging="425"/>
      </w:pPr>
      <w:r w:rsidRPr="00A66FD9">
        <w:t>adequate, relevant and limited to what is necessary in relation to the purposes for which it is processed (‘data minimisation’</w:t>
      </w:r>
      <w:proofErr w:type="gramStart"/>
      <w:r w:rsidRPr="00A66FD9">
        <w:t>);</w:t>
      </w:r>
      <w:proofErr w:type="gramEnd"/>
    </w:p>
    <w:p w14:paraId="38FB83C2" w14:textId="77777777" w:rsidR="00A66D21" w:rsidRPr="00A66FD9" w:rsidRDefault="00A66D21" w:rsidP="00A66FD9">
      <w:pPr>
        <w:pStyle w:val="EPMBullets"/>
        <w:ind w:left="1276" w:hanging="425"/>
      </w:pPr>
      <w:r w:rsidRPr="00A66FD9">
        <w:lastRenderedPageBreak/>
        <w:t>accurate and, where necessary, kept up to date; every reasonable step must be taken to ensure that personal data that is inaccurate, having regard to the purposes for which it is processed, is erased or rectified without delay (‘accuracy’</w:t>
      </w:r>
      <w:proofErr w:type="gramStart"/>
      <w:r w:rsidRPr="00A66FD9">
        <w:t>);</w:t>
      </w:r>
      <w:proofErr w:type="gramEnd"/>
    </w:p>
    <w:p w14:paraId="23FA87F7" w14:textId="77777777" w:rsidR="00A66D21" w:rsidRPr="00A66FD9" w:rsidRDefault="00A66D21" w:rsidP="00A66FD9">
      <w:pPr>
        <w:pStyle w:val="EPMBullets"/>
        <w:ind w:left="1276" w:hanging="425"/>
      </w:pPr>
      <w:r w:rsidRPr="00A66FD9">
        <w:t xml:space="preserve">kept in a form which permits identification of data subjects for no longer than is necessary for the purposes for which the personal data is </w:t>
      </w:r>
      <w:proofErr w:type="gramStart"/>
      <w:r w:rsidRPr="00A66FD9">
        <w:t>processed;</w:t>
      </w:r>
      <w:proofErr w:type="gramEnd"/>
      <w:r w:rsidRPr="00A66FD9">
        <w:t xml:space="preserve"> </w:t>
      </w:r>
    </w:p>
    <w:p w14:paraId="5D3EC414" w14:textId="77777777" w:rsidR="00A66D21" w:rsidRPr="00A66FD9" w:rsidRDefault="00A66D21" w:rsidP="00A66FD9">
      <w:pPr>
        <w:pStyle w:val="EPMBullets"/>
        <w:ind w:left="1276" w:hanging="425"/>
      </w:pPr>
      <w:r w:rsidRPr="00A66FD9">
        <w:t>processed in a manner that ensures appropriate security of the personal data, including protection against unauthorised or unlawful processing and against accidental loss, destruction or damage, using appropriate technical or organisational measures (‘integrity and confidentiality’).</w:t>
      </w:r>
    </w:p>
    <w:p w14:paraId="4BF519B1" w14:textId="77777777" w:rsidR="00A66D21" w:rsidRDefault="00A66D21" w:rsidP="00A66FD9">
      <w:pPr>
        <w:pStyle w:val="EPMTextstyle"/>
        <w:ind w:left="851"/>
      </w:pPr>
      <w:r w:rsidRPr="00FD674C">
        <w:t xml:space="preserve">The Governing Body/Trustees shall be responsible for, and must be able to demonstrate compliance with, these </w:t>
      </w:r>
      <w:r w:rsidRPr="005D1780">
        <w:t>principles</w:t>
      </w:r>
      <w:r w:rsidRPr="00FD674C">
        <w:t>.</w:t>
      </w:r>
    </w:p>
    <w:p w14:paraId="14E780C2" w14:textId="77777777" w:rsidR="00A66D21" w:rsidRPr="0059350D" w:rsidRDefault="00A66D21" w:rsidP="00A66FD9">
      <w:pPr>
        <w:pStyle w:val="EPMNumberedHeading"/>
        <w:ind w:left="851" w:hanging="851"/>
      </w:pPr>
      <w:r w:rsidRPr="0059350D">
        <w:t>Purposes of Information and Length of Time Retained</w:t>
      </w:r>
    </w:p>
    <w:p w14:paraId="104343B5" w14:textId="77777777" w:rsidR="00A66D21" w:rsidRPr="00116AA6" w:rsidRDefault="00A66D21" w:rsidP="00A66FD9">
      <w:pPr>
        <w:pStyle w:val="EPMTextstyle"/>
        <w:ind w:left="850"/>
      </w:pPr>
      <w:r w:rsidRPr="0058025F">
        <w:t>Personal data will be held in accordance with the Governing Body/Trustees</w:t>
      </w:r>
      <w:r>
        <w:t>’</w:t>
      </w:r>
      <w:r w:rsidRPr="0058025F">
        <w:t xml:space="preserve"> Policy on Retention of Personal Information. We will not keep personal data longer than necessary for the purpose or purposes for which they were collected. We will take all reasonable steps to destroy or erase from our systems, all data which is no longer </w:t>
      </w:r>
      <w:r w:rsidRPr="00116AA6">
        <w:t xml:space="preserve">required. </w:t>
      </w:r>
    </w:p>
    <w:p w14:paraId="7F893730" w14:textId="77777777" w:rsidR="00A66D21" w:rsidRDefault="00A66D21" w:rsidP="00A66FD9">
      <w:pPr>
        <w:pStyle w:val="EPMTextstyle"/>
        <w:ind w:left="850"/>
      </w:pPr>
      <w:r w:rsidRPr="0058025F">
        <w:t>The Governing Body/Trustees will state the purposes for which it holds personal information and will register with the Data Protection Commissioner all the purposes for which it processes personal data.</w:t>
      </w:r>
    </w:p>
    <w:p w14:paraId="4E1734BB" w14:textId="77777777" w:rsidR="00A66D21" w:rsidRPr="0059350D" w:rsidRDefault="00A66D21" w:rsidP="00A66FD9">
      <w:pPr>
        <w:pStyle w:val="EPMNumberedHeading"/>
        <w:ind w:left="851" w:hanging="851"/>
      </w:pPr>
      <w:r w:rsidRPr="0059350D">
        <w:t>Nature of Information</w:t>
      </w:r>
    </w:p>
    <w:p w14:paraId="6B4ED35B" w14:textId="77777777" w:rsidR="00A66D21" w:rsidRPr="00116AA6" w:rsidRDefault="00A66D21" w:rsidP="00A66FD9">
      <w:pPr>
        <w:pStyle w:val="EPMTextstyle"/>
        <w:ind w:left="850"/>
      </w:pPr>
      <w:r w:rsidRPr="0058025F">
        <w:t xml:space="preserve">We will only collect personal data to the extent that it is required for the specific purpose notified to </w:t>
      </w:r>
      <w:r w:rsidRPr="00116AA6">
        <w:t xml:space="preserve">the data subject.  </w:t>
      </w:r>
    </w:p>
    <w:p w14:paraId="4A0F39B4" w14:textId="77777777" w:rsidR="00A66D21" w:rsidRPr="00116AA6" w:rsidRDefault="00A66D21" w:rsidP="00A66FD9">
      <w:pPr>
        <w:pStyle w:val="EPMTextstyle"/>
        <w:ind w:left="850"/>
      </w:pPr>
      <w:r w:rsidRPr="00116AA6">
        <w:t xml:space="preserve">We will ensure that personal data we hold is accurate and kept up to date.  We will check the accuracy of any personal data at the point of collection and at regular intervals afterwards. We will take all reasonable steps to destroy or amend inaccurate or out-of-date data. </w:t>
      </w:r>
    </w:p>
    <w:p w14:paraId="45257ABE" w14:textId="77777777" w:rsidR="00A66D21" w:rsidRPr="0059350D" w:rsidRDefault="00A66D21" w:rsidP="00A66FD9">
      <w:pPr>
        <w:pStyle w:val="EPMNumberedHeading"/>
        <w:ind w:left="851" w:hanging="851"/>
      </w:pPr>
      <w:r w:rsidRPr="0059350D">
        <w:t>Disclosu</w:t>
      </w:r>
      <w:r w:rsidRPr="00BE4647">
        <w:t>r</w:t>
      </w:r>
      <w:r w:rsidRPr="0059350D">
        <w:t>e of Information</w:t>
      </w:r>
    </w:p>
    <w:p w14:paraId="49E2A862" w14:textId="77777777" w:rsidR="00A66D21" w:rsidRPr="00116AA6" w:rsidRDefault="00A66D21" w:rsidP="00A66FD9">
      <w:pPr>
        <w:pStyle w:val="EPMTextstyle"/>
        <w:ind w:left="850"/>
      </w:pPr>
      <w:r w:rsidRPr="0058025F">
        <w:t xml:space="preserve">Personal data will be used only for the purpose for which it was gathered unless the consent of the </w:t>
      </w:r>
      <w:r>
        <w:t>data subject</w:t>
      </w:r>
      <w:r w:rsidRPr="0058025F">
        <w:t xml:space="preserve"> concerned has been obtained to a new or varied use.</w:t>
      </w:r>
    </w:p>
    <w:p w14:paraId="17629DE2" w14:textId="77777777" w:rsidR="00A66D21" w:rsidRPr="00116AA6" w:rsidRDefault="00A66D21" w:rsidP="00A66FD9">
      <w:pPr>
        <w:pStyle w:val="EPMTextstyle"/>
        <w:ind w:left="850"/>
      </w:pPr>
      <w:r w:rsidRPr="0058025F">
        <w:t>Routine disclosures will be specified on the Data Protection register and, in the organisation’s, own Data Protection publication scheme and consent will be deemed to have been given to routine disclosures so included.</w:t>
      </w:r>
    </w:p>
    <w:p w14:paraId="3D4F9841" w14:textId="77777777" w:rsidR="00A66D21" w:rsidRPr="00116AA6" w:rsidRDefault="00A66D21" w:rsidP="00A66FD9">
      <w:pPr>
        <w:pStyle w:val="EPMTextstyle"/>
        <w:ind w:left="850"/>
      </w:pPr>
      <w:r w:rsidRPr="0058025F">
        <w:t>In other cases, the explicit consent of the data subject will be obtained in writing.  Confirmation of consent by telephone is acceptable if a written request has been received which implies the consent of the data subject.</w:t>
      </w:r>
    </w:p>
    <w:p w14:paraId="098A5C10" w14:textId="77777777" w:rsidR="00A66FD9" w:rsidRDefault="00A66D21" w:rsidP="00A66FD9">
      <w:pPr>
        <w:pStyle w:val="EPMTextstyle"/>
        <w:ind w:left="850"/>
        <w:sectPr w:rsidR="00A66FD9" w:rsidSect="000709C6">
          <w:headerReference w:type="default" r:id="rId13"/>
          <w:footerReference w:type="default" r:id="rId14"/>
          <w:pgSz w:w="11906" w:h="16838"/>
          <w:pgMar w:top="1695" w:right="1021" w:bottom="851" w:left="1021" w:header="709" w:footer="544" w:gutter="0"/>
          <w:cols w:space="708"/>
          <w:docGrid w:linePitch="360"/>
        </w:sectPr>
      </w:pPr>
      <w:r w:rsidRPr="0058025F">
        <w:t xml:space="preserve">Access to personal data will be refused if the data user is uncertain whether the person requesting access, including another </w:t>
      </w:r>
      <w:r>
        <w:t>employee</w:t>
      </w:r>
      <w:r w:rsidRPr="0058025F">
        <w:t>, is entitled to it.</w:t>
      </w:r>
      <w:r>
        <w:t xml:space="preserve"> In such a case, the request must be referred to the Data Officer for consideration before the request is rejected.</w:t>
      </w:r>
    </w:p>
    <w:p w14:paraId="1C595C78" w14:textId="77777777" w:rsidR="00A66D21" w:rsidRDefault="00A66D21" w:rsidP="00A66FD9">
      <w:pPr>
        <w:pStyle w:val="EPMNumberedHeading"/>
        <w:ind w:left="851" w:hanging="851"/>
      </w:pPr>
      <w:r>
        <w:lastRenderedPageBreak/>
        <w:t>Data Breach</w:t>
      </w:r>
    </w:p>
    <w:p w14:paraId="2B3D2A35" w14:textId="77777777" w:rsidR="00A66D21" w:rsidRDefault="00A66D21" w:rsidP="00A66FD9">
      <w:pPr>
        <w:pStyle w:val="EPMTextstyle"/>
        <w:ind w:left="850"/>
      </w:pPr>
      <w:r w:rsidRPr="005D1780">
        <w:t>If</w:t>
      </w:r>
      <w:r>
        <w:t xml:space="preserve"> we discover that there has been a breach of HR-related personal data that poses a risk to the rights and freedoms of individuals, the Data Protection Officer will report it to the Information Commissioner within 72 hours of discovery.</w:t>
      </w:r>
    </w:p>
    <w:p w14:paraId="6488F916" w14:textId="77777777" w:rsidR="00A66D21" w:rsidRDefault="00A66D21" w:rsidP="00A66FD9">
      <w:pPr>
        <w:pStyle w:val="EPMTextstyle"/>
        <w:ind w:left="850"/>
      </w:pPr>
      <w:r>
        <w:t>If the breach is likely to result in a high risk to the rights and freedoms of individuals, all affected individuals will be informed of the breach and provided with information including the type of data and likely consequences of the breach, plus mitigating steps taken.</w:t>
      </w:r>
    </w:p>
    <w:p w14:paraId="75C8A5EB" w14:textId="77777777" w:rsidR="00A66D21" w:rsidRDefault="00A66D21" w:rsidP="00A66FD9">
      <w:pPr>
        <w:pStyle w:val="EPMTextstyle"/>
        <w:ind w:left="850"/>
      </w:pPr>
      <w:r>
        <w:t xml:space="preserve">Any breach of the policy will be fully investigated, and remedial steps taken to ensure a similar breach cannot happen again. </w:t>
      </w:r>
    </w:p>
    <w:p w14:paraId="2D921BE9" w14:textId="77777777" w:rsidR="00A66D21" w:rsidRPr="00FD674C" w:rsidRDefault="00A66D21" w:rsidP="00A66FD9">
      <w:pPr>
        <w:pStyle w:val="EPMTextstyle"/>
        <w:ind w:left="850"/>
      </w:pPr>
      <w:r>
        <w:t>A record of all data breaches, regardless of their size or effect, will be retained within the Breach Register, as set out in Appendix 1 of this Policy, available from the Data Protection Officer.</w:t>
      </w:r>
    </w:p>
    <w:p w14:paraId="5DC1C782" w14:textId="77777777" w:rsidR="00A66D21" w:rsidRPr="0059350D" w:rsidRDefault="00A66D21" w:rsidP="00A66FD9">
      <w:pPr>
        <w:pStyle w:val="EPMNumberedHeading"/>
        <w:ind w:left="851" w:hanging="851"/>
      </w:pPr>
      <w:r w:rsidRPr="0059350D">
        <w:t>Individual rights</w:t>
      </w:r>
    </w:p>
    <w:p w14:paraId="6E0FBFFC" w14:textId="108174E0" w:rsidR="00A66D21" w:rsidRPr="006819EA" w:rsidRDefault="00A66D21" w:rsidP="00A66FD9">
      <w:pPr>
        <w:pStyle w:val="EPMTextstyle"/>
        <w:ind w:left="850"/>
        <w:rPr>
          <w:lang w:val="en-US"/>
        </w:rPr>
      </w:pPr>
      <w:r w:rsidRPr="006819EA">
        <w:rPr>
          <w:lang w:val="en-US"/>
        </w:rPr>
        <w:t xml:space="preserve">As a data subject, individuals have </w:t>
      </w:r>
      <w:r w:rsidR="006819EA" w:rsidRPr="006819EA">
        <w:rPr>
          <w:lang w:val="en-US"/>
        </w:rPr>
        <w:t>several</w:t>
      </w:r>
      <w:r w:rsidRPr="006819EA">
        <w:rPr>
          <w:lang w:val="en-US"/>
        </w:rPr>
        <w:t xml:space="preserve"> rights in relation to their personal data.</w:t>
      </w:r>
    </w:p>
    <w:p w14:paraId="6D4506C1" w14:textId="77777777" w:rsidR="00A66D21" w:rsidRPr="006819EA" w:rsidRDefault="00A66D21" w:rsidP="00380AFA">
      <w:pPr>
        <w:pStyle w:val="EPMSubheading"/>
        <w:ind w:left="850"/>
        <w:rPr>
          <w:lang w:val="en-US"/>
        </w:rPr>
      </w:pPr>
      <w:r w:rsidRPr="006819EA">
        <w:rPr>
          <w:lang w:val="en-US"/>
        </w:rPr>
        <w:t>Subject access requests</w:t>
      </w:r>
    </w:p>
    <w:p w14:paraId="0C20FCA6" w14:textId="77777777" w:rsidR="00A66D21" w:rsidRPr="006819EA" w:rsidRDefault="00A66D21" w:rsidP="00407EF8">
      <w:pPr>
        <w:pStyle w:val="EPMBullets"/>
        <w:numPr>
          <w:ilvl w:val="0"/>
          <w:numId w:val="0"/>
        </w:numPr>
        <w:tabs>
          <w:tab w:val="clear" w:pos="851"/>
        </w:tabs>
        <w:ind w:left="851"/>
      </w:pPr>
      <w:r w:rsidRPr="006819EA">
        <w:t>Individuals have the right to make a subject access request. If an individual makes a subject access request, the organisation will tell them:</w:t>
      </w:r>
    </w:p>
    <w:p w14:paraId="68891A62" w14:textId="6D413498" w:rsidR="00A66D21" w:rsidRPr="006819EA" w:rsidRDefault="00A66D21" w:rsidP="00A66FD9">
      <w:pPr>
        <w:pStyle w:val="EPMBullets"/>
        <w:tabs>
          <w:tab w:val="clear" w:pos="851"/>
        </w:tabs>
        <w:ind w:left="1276" w:hanging="425"/>
      </w:pPr>
      <w:r w:rsidRPr="006819EA">
        <w:t xml:space="preserve">whether or not their data is processed and if so why, the categories of personal data concerned and the source of the data if it is not collected from the </w:t>
      </w:r>
      <w:r w:rsidR="006819EA" w:rsidRPr="006819EA">
        <w:t>individual.</w:t>
      </w:r>
    </w:p>
    <w:p w14:paraId="6EC616A3" w14:textId="7EBD7A15" w:rsidR="00A66D21" w:rsidRPr="006819EA" w:rsidRDefault="00A66D21" w:rsidP="00A66FD9">
      <w:pPr>
        <w:pStyle w:val="EPMBullets"/>
        <w:tabs>
          <w:tab w:val="clear" w:pos="851"/>
        </w:tabs>
        <w:ind w:left="1276" w:hanging="425"/>
      </w:pPr>
      <w:r w:rsidRPr="006819EA">
        <w:t xml:space="preserve">to whom their data is or may be disclosed, including to recipients located outside the European Economic Area (EEA) and the safeguards that apply to such </w:t>
      </w:r>
      <w:r w:rsidR="006819EA" w:rsidRPr="006819EA">
        <w:t>transfers.</w:t>
      </w:r>
    </w:p>
    <w:p w14:paraId="405F60C7" w14:textId="77777777" w:rsidR="00A66D21" w:rsidRPr="006819EA" w:rsidRDefault="00A66D21" w:rsidP="00A66FD9">
      <w:pPr>
        <w:pStyle w:val="EPMBullets"/>
        <w:tabs>
          <w:tab w:val="clear" w:pos="851"/>
        </w:tabs>
        <w:ind w:left="1276" w:hanging="425"/>
      </w:pPr>
      <w:r w:rsidRPr="006819EA">
        <w:t>for how long their personal data is stored (or how that period is decided</w:t>
      </w:r>
      <w:proofErr w:type="gramStart"/>
      <w:r w:rsidRPr="006819EA">
        <w:t>);</w:t>
      </w:r>
      <w:proofErr w:type="gramEnd"/>
    </w:p>
    <w:p w14:paraId="26108BFC" w14:textId="4244EDC8" w:rsidR="00A66D21" w:rsidRPr="006819EA" w:rsidRDefault="00A66D21" w:rsidP="00A66FD9">
      <w:pPr>
        <w:pStyle w:val="EPMBullets"/>
        <w:tabs>
          <w:tab w:val="clear" w:pos="851"/>
        </w:tabs>
        <w:ind w:left="1276" w:hanging="425"/>
      </w:pPr>
      <w:r w:rsidRPr="006819EA">
        <w:t xml:space="preserve">their rights to rectification or erasure of data, or to restrict or object to </w:t>
      </w:r>
      <w:r w:rsidR="006819EA" w:rsidRPr="006819EA">
        <w:t>processing.</w:t>
      </w:r>
    </w:p>
    <w:p w14:paraId="63D70648" w14:textId="77777777" w:rsidR="00A66D21" w:rsidRPr="006819EA" w:rsidRDefault="00A66D21" w:rsidP="00A66FD9">
      <w:pPr>
        <w:pStyle w:val="EPMBullets"/>
        <w:tabs>
          <w:tab w:val="clear" w:pos="851"/>
        </w:tabs>
        <w:ind w:left="1276" w:hanging="425"/>
      </w:pPr>
      <w:r w:rsidRPr="006819EA">
        <w:t>their right to complain to the Information Commissioner if they think the organisation has failed to comply with their data protection rights; and</w:t>
      </w:r>
    </w:p>
    <w:p w14:paraId="4B18D9CA" w14:textId="77777777" w:rsidR="00A66D21" w:rsidRPr="006819EA" w:rsidRDefault="00A66D21" w:rsidP="00A66FD9">
      <w:pPr>
        <w:pStyle w:val="EPMBullets"/>
        <w:tabs>
          <w:tab w:val="clear" w:pos="851"/>
        </w:tabs>
        <w:ind w:left="1276" w:hanging="425"/>
      </w:pPr>
      <w:r w:rsidRPr="006819EA">
        <w:t>whether or not the organisation carries out automated decision-making and the logic involved in any such decision-making.</w:t>
      </w:r>
    </w:p>
    <w:p w14:paraId="1367E7DD" w14:textId="77777777" w:rsidR="00A66D21" w:rsidRPr="00FD674C" w:rsidRDefault="00A66D21" w:rsidP="00A66FD9">
      <w:pPr>
        <w:pStyle w:val="EPMTextstyle"/>
        <w:ind w:left="850"/>
      </w:pPr>
      <w:r w:rsidRPr="00FD674C">
        <w:t xml:space="preserve">The organisation will also provide the individual with a copy of the personal data undergoing processing. This will normally be in electronic form if the individual has made a request electronically unless </w:t>
      </w:r>
      <w:r>
        <w:t>they</w:t>
      </w:r>
      <w:r w:rsidRPr="00FD674C">
        <w:t xml:space="preserve"> agree otherwise.</w:t>
      </w:r>
    </w:p>
    <w:p w14:paraId="1436B5B8" w14:textId="77777777" w:rsidR="00A66D21" w:rsidRPr="00FD674C" w:rsidRDefault="00A66D21" w:rsidP="00A66FD9">
      <w:pPr>
        <w:pStyle w:val="EPMTextstyle"/>
        <w:ind w:left="850"/>
      </w:pPr>
      <w:r w:rsidRPr="00FD674C">
        <w:t>If the individual requests additional copies, the organisation reserves the right to charge a fee, which will be based on the administrative cost to the organisation of providing the additional copies.</w:t>
      </w:r>
    </w:p>
    <w:p w14:paraId="11E622AC" w14:textId="50E511BA" w:rsidR="00A66D21" w:rsidRPr="00FD674C" w:rsidRDefault="00A66D21" w:rsidP="00A66FD9">
      <w:pPr>
        <w:pStyle w:val="EPMTextstyle"/>
        <w:ind w:left="850"/>
      </w:pPr>
      <w:r w:rsidRPr="00FD674C">
        <w:t xml:space="preserve">To make a subject access request, the individual should send the request to </w:t>
      </w:r>
      <w:r w:rsidRPr="00407EF8">
        <w:rPr>
          <w:rStyle w:val="EPMBracketChar"/>
        </w:rPr>
        <w:t>[</w:t>
      </w:r>
      <w:r w:rsidR="00407EF8" w:rsidRPr="00BC517B">
        <w:rPr>
          <w:rStyle w:val="EPMBracketChar"/>
        </w:rPr>
        <w:t>email address</w:t>
      </w:r>
      <w:r w:rsidRPr="00407EF8">
        <w:rPr>
          <w:rStyle w:val="EPMBracketChar"/>
        </w:rPr>
        <w:t>]</w:t>
      </w:r>
      <w:r w:rsidRPr="00FD674C">
        <w:t xml:space="preserve">. In some cases, the organisation may need to ask for proof of identification before the request can be processed. The organisation will inform the individual if it needs to verify </w:t>
      </w:r>
      <w:r>
        <w:t>their</w:t>
      </w:r>
      <w:r w:rsidRPr="00FD674C">
        <w:t xml:space="preserve"> identity and the documents it requires.</w:t>
      </w:r>
    </w:p>
    <w:p w14:paraId="44CCD742" w14:textId="77777777" w:rsidR="00A66D21" w:rsidRPr="00FD674C" w:rsidRDefault="00A66D21" w:rsidP="00A66FD9">
      <w:pPr>
        <w:pStyle w:val="EPMTextstyle"/>
        <w:ind w:left="850"/>
      </w:pPr>
      <w:r w:rsidRPr="00FD674C">
        <w:t xml:space="preserve">The organisation will normally respond to a request within a period of one month from the date it is received. In some cases, such as where the organisation processes large amounts of the individual's data, it may respond within three months of the date the request is received. The organisation will write to the individual within one month of receiving the original request to tell </w:t>
      </w:r>
      <w:r>
        <w:t>them</w:t>
      </w:r>
      <w:r w:rsidRPr="00FD674C">
        <w:t xml:space="preserve"> if this is the case.</w:t>
      </w:r>
    </w:p>
    <w:p w14:paraId="016AD05A" w14:textId="77777777" w:rsidR="00A66D21" w:rsidRPr="00FD674C" w:rsidRDefault="00A66D21" w:rsidP="00A66FD9">
      <w:pPr>
        <w:pStyle w:val="EPMTextstyle"/>
        <w:ind w:left="850"/>
      </w:pPr>
      <w:r w:rsidRPr="00FD674C">
        <w:lastRenderedPageBreak/>
        <w:t xml:space="preserve">If a subject access request is manifestly unfounded or excessive, the organisation is not obliged to comply with it. Alternatively, the organisation can agree to respond but will charge a fee, which will be based on the administrative cost of responding to the request. A subject access request is likely to be manifestly unfounded or excessive where it repeats a request to which the organisation has already responded. If an individual submits a request that is unfounded or excessive, the organisation will notify </w:t>
      </w:r>
      <w:r>
        <w:t>them</w:t>
      </w:r>
      <w:r w:rsidRPr="00FD674C">
        <w:t xml:space="preserve"> that this is the case and </w:t>
      </w:r>
      <w:proofErr w:type="gramStart"/>
      <w:r w:rsidRPr="00FD674C">
        <w:t>whether or not</w:t>
      </w:r>
      <w:proofErr w:type="gramEnd"/>
      <w:r w:rsidRPr="00FD674C">
        <w:t xml:space="preserve"> it will respond to it.</w:t>
      </w:r>
    </w:p>
    <w:p w14:paraId="79C7CA35" w14:textId="77777777" w:rsidR="00A66D21" w:rsidRPr="0058523B" w:rsidRDefault="00A66D21" w:rsidP="0058523B">
      <w:pPr>
        <w:pStyle w:val="EPMSubheading"/>
        <w:ind w:left="850"/>
        <w:rPr>
          <w:lang w:val="en-US"/>
        </w:rPr>
      </w:pPr>
      <w:r w:rsidRPr="0058523B">
        <w:rPr>
          <w:lang w:val="en-US"/>
        </w:rPr>
        <w:t>Other rights</w:t>
      </w:r>
    </w:p>
    <w:p w14:paraId="00A55855" w14:textId="77777777" w:rsidR="00A66D21" w:rsidRPr="00FD674C" w:rsidRDefault="00A66D21" w:rsidP="00A66FD9">
      <w:pPr>
        <w:pStyle w:val="EPMTextstyle"/>
        <w:ind w:left="850"/>
      </w:pPr>
      <w:r w:rsidRPr="00FD674C">
        <w:t xml:space="preserve">Individuals have </w:t>
      </w:r>
      <w:proofErr w:type="gramStart"/>
      <w:r w:rsidRPr="00FD674C">
        <w:t>a number of</w:t>
      </w:r>
      <w:proofErr w:type="gramEnd"/>
      <w:r w:rsidRPr="00FD674C">
        <w:t xml:space="preserve"> other rights in relation to their personal data. They can require the organisation to:</w:t>
      </w:r>
    </w:p>
    <w:p w14:paraId="623A644F" w14:textId="77777777" w:rsidR="00A66D21" w:rsidRPr="00FD674C" w:rsidRDefault="00A66D21" w:rsidP="00A66FD9">
      <w:pPr>
        <w:pStyle w:val="EPMBullets"/>
        <w:tabs>
          <w:tab w:val="clear" w:pos="851"/>
        </w:tabs>
        <w:ind w:left="1276" w:hanging="425"/>
      </w:pPr>
      <w:r w:rsidRPr="00FD674C">
        <w:t xml:space="preserve">rectify inaccurate </w:t>
      </w:r>
      <w:proofErr w:type="gramStart"/>
      <w:r w:rsidRPr="00FD674C">
        <w:t>data;</w:t>
      </w:r>
      <w:proofErr w:type="gramEnd"/>
    </w:p>
    <w:p w14:paraId="752703B6" w14:textId="77777777" w:rsidR="00A66D21" w:rsidRPr="00FD674C" w:rsidRDefault="00A66D21" w:rsidP="00A66FD9">
      <w:pPr>
        <w:pStyle w:val="EPMBullets"/>
        <w:tabs>
          <w:tab w:val="clear" w:pos="851"/>
        </w:tabs>
        <w:ind w:left="1276" w:hanging="425"/>
        <w:rPr>
          <w:lang w:eastAsia="en-GB"/>
        </w:rPr>
      </w:pPr>
      <w:r w:rsidRPr="00FD674C">
        <w:t xml:space="preserve">stop processing or erase data that is no longer necessary for the purposes of </w:t>
      </w:r>
      <w:proofErr w:type="gramStart"/>
      <w:r w:rsidRPr="00FD674C">
        <w:t>processing</w:t>
      </w:r>
      <w:r w:rsidRPr="00FD674C">
        <w:rPr>
          <w:lang w:eastAsia="en-GB"/>
        </w:rPr>
        <w:t>;</w:t>
      </w:r>
      <w:proofErr w:type="gramEnd"/>
    </w:p>
    <w:p w14:paraId="74C660B0" w14:textId="77777777" w:rsidR="00A66D21" w:rsidRPr="00FD674C" w:rsidRDefault="00A66D21" w:rsidP="00A66FD9">
      <w:pPr>
        <w:pStyle w:val="EPMBullets"/>
        <w:tabs>
          <w:tab w:val="clear" w:pos="851"/>
        </w:tabs>
        <w:ind w:left="1276" w:hanging="425"/>
      </w:pPr>
      <w:r w:rsidRPr="00FD674C">
        <w:t>stop processing or erase data if the individual's interests override the organisation's legitimate grounds for processing data (where the organisation relies on its legitimate interests as a reason for processing data</w:t>
      </w:r>
      <w:proofErr w:type="gramStart"/>
      <w:r w:rsidRPr="00FD674C">
        <w:t>);</w:t>
      </w:r>
      <w:proofErr w:type="gramEnd"/>
    </w:p>
    <w:p w14:paraId="79783EA3" w14:textId="77777777" w:rsidR="00A66D21" w:rsidRPr="00FD674C" w:rsidRDefault="00A66D21" w:rsidP="00A66FD9">
      <w:pPr>
        <w:pStyle w:val="EPMBullets"/>
        <w:tabs>
          <w:tab w:val="clear" w:pos="851"/>
        </w:tabs>
        <w:ind w:left="1276" w:hanging="425"/>
      </w:pPr>
      <w:r w:rsidRPr="00FD674C">
        <w:t>stop processing or erase data if processing is unlawful; and</w:t>
      </w:r>
    </w:p>
    <w:p w14:paraId="1507F96A" w14:textId="30B13AA3" w:rsidR="00A66D21" w:rsidRPr="00FD674C" w:rsidRDefault="00A66D21" w:rsidP="00A66FD9">
      <w:pPr>
        <w:pStyle w:val="EPMBullets"/>
        <w:tabs>
          <w:tab w:val="clear" w:pos="851"/>
        </w:tabs>
        <w:ind w:left="1276" w:hanging="425"/>
        <w:rPr>
          <w:lang w:eastAsia="en-GB"/>
        </w:rPr>
      </w:pPr>
      <w:r w:rsidRPr="00FD674C">
        <w:t xml:space="preserve">stop processing data for a period if data is inaccurate or if there is a dispute about </w:t>
      </w:r>
      <w:r w:rsidR="006819EA" w:rsidRPr="00FD674C">
        <w:t>whether</w:t>
      </w:r>
      <w:r w:rsidRPr="00FD674C">
        <w:t xml:space="preserve"> the individual's interests override the organisation's legitimate grounds for processing data</w:t>
      </w:r>
      <w:r w:rsidRPr="00FD674C">
        <w:rPr>
          <w:lang w:eastAsia="en-GB"/>
        </w:rPr>
        <w:t>.</w:t>
      </w:r>
    </w:p>
    <w:p w14:paraId="6DF81745" w14:textId="77777777" w:rsidR="00A66D21" w:rsidRPr="00FD674C" w:rsidRDefault="00A66D21" w:rsidP="00A66FD9">
      <w:pPr>
        <w:ind w:left="850"/>
        <w:rPr>
          <w:lang w:eastAsia="en-GB"/>
        </w:rPr>
      </w:pPr>
      <w:r w:rsidRPr="00BC517B">
        <w:rPr>
          <w:rFonts w:cs="Arial"/>
          <w:sz w:val="21"/>
          <w:szCs w:val="20"/>
        </w:rPr>
        <w:t>To ask the organisation to take any of these steps, the individual should send the</w:t>
      </w:r>
      <w:r w:rsidRPr="00FD674C">
        <w:rPr>
          <w:lang w:eastAsia="en-GB"/>
        </w:rPr>
        <w:t xml:space="preserve"> </w:t>
      </w:r>
      <w:r w:rsidRPr="00BC517B">
        <w:rPr>
          <w:rFonts w:cs="Arial"/>
          <w:sz w:val="21"/>
          <w:szCs w:val="20"/>
        </w:rPr>
        <w:t>request</w:t>
      </w:r>
      <w:r w:rsidRPr="00FD674C">
        <w:rPr>
          <w:lang w:eastAsia="en-GB"/>
        </w:rPr>
        <w:t xml:space="preserve"> to </w:t>
      </w:r>
      <w:r w:rsidRPr="00BC517B">
        <w:rPr>
          <w:rStyle w:val="EPMBracketChar"/>
        </w:rPr>
        <w:t>[email address]</w:t>
      </w:r>
      <w:r w:rsidRPr="00B47F69">
        <w:rPr>
          <w:rStyle w:val="SquareBracketsChar"/>
          <w:rFonts w:asciiTheme="minorHAnsi" w:hAnsiTheme="minorHAnsi"/>
          <w:iCs/>
          <w:color w:val="1381BE"/>
        </w:rPr>
        <w:t>.</w:t>
      </w:r>
    </w:p>
    <w:p w14:paraId="61A1A202" w14:textId="77777777" w:rsidR="00A66D21" w:rsidRPr="0059350D" w:rsidRDefault="00A66D21" w:rsidP="00A66FD9">
      <w:pPr>
        <w:pStyle w:val="EPMNumberedHeading"/>
        <w:ind w:left="851" w:hanging="927"/>
      </w:pPr>
      <w:r w:rsidRPr="006661B8">
        <w:t>Access</w:t>
      </w:r>
      <w:r w:rsidRPr="0059350D">
        <w:t xml:space="preserve"> to Personal Files</w:t>
      </w:r>
    </w:p>
    <w:p w14:paraId="10D10EF4" w14:textId="77777777" w:rsidR="00A66D21" w:rsidRPr="0047656E" w:rsidRDefault="00A66D21" w:rsidP="00A66FD9">
      <w:pPr>
        <w:ind w:left="850"/>
        <w:rPr>
          <w:rStyle w:val="EPMBracketChar"/>
        </w:rPr>
      </w:pPr>
      <w:r w:rsidRPr="00BC517B">
        <w:rPr>
          <w:rFonts w:cs="Arial"/>
          <w:sz w:val="21"/>
          <w:szCs w:val="20"/>
        </w:rPr>
        <w:t xml:space="preserve">Employees are entitled to know if the organisation holds information about them. Any request for information must be made formally in writing addressed to </w:t>
      </w:r>
      <w:r w:rsidRPr="00BC517B">
        <w:rPr>
          <w:rStyle w:val="EPMBracketChar"/>
        </w:rPr>
        <w:t xml:space="preserve">[insert role]. </w:t>
      </w:r>
      <w:r w:rsidRPr="0047656E">
        <w:rPr>
          <w:rStyle w:val="EPMBracketChar"/>
        </w:rPr>
        <w:t>[The Data Subject Access Request (DSAR) Procedure sets out further information on this.]</w:t>
      </w:r>
    </w:p>
    <w:p w14:paraId="3F377384" w14:textId="77777777" w:rsidR="00A66D21" w:rsidRPr="0059350D" w:rsidRDefault="00A66D21" w:rsidP="0047656E">
      <w:pPr>
        <w:pStyle w:val="EPMNumberedHeading"/>
        <w:ind w:left="851" w:hanging="851"/>
      </w:pPr>
      <w:r>
        <w:t>Data</w:t>
      </w:r>
      <w:r w:rsidRPr="0059350D">
        <w:t xml:space="preserve"> Security</w:t>
      </w:r>
      <w:r>
        <w:t xml:space="preserve"> and Impact Assessment</w:t>
      </w:r>
    </w:p>
    <w:p w14:paraId="4D5776BA" w14:textId="77777777" w:rsidR="00A66D21" w:rsidRDefault="00A66D21" w:rsidP="0047656E">
      <w:pPr>
        <w:ind w:left="850"/>
      </w:pPr>
      <w:r w:rsidRPr="00BC517B">
        <w:rPr>
          <w:rFonts w:cs="Arial"/>
          <w:sz w:val="21"/>
          <w:szCs w:val="20"/>
        </w:rPr>
        <w:t>The organisation will determine and maintain an appropriate level of security (and back–up) for its premises, equipment, network, programs, data and documentation, and will ensure that access to them is restricted to appropriate individuals. Personal data will only be transferred to a data processor if they agree to comply with those procedures and policies, or if they put in place adequate measures themselves</w:t>
      </w:r>
      <w:r w:rsidRPr="00FD674C">
        <w:t xml:space="preserve">. </w:t>
      </w:r>
    </w:p>
    <w:p w14:paraId="2F72AD5D" w14:textId="77777777" w:rsidR="00A66D21" w:rsidRPr="00134FB0" w:rsidRDefault="00A66D21" w:rsidP="0047656E">
      <w:pPr>
        <w:pStyle w:val="EPMNumberedHeading"/>
        <w:ind w:left="851" w:hanging="851"/>
      </w:pPr>
      <w:bookmarkStart w:id="4" w:name="_Toc508002912"/>
      <w:r w:rsidRPr="00134FB0">
        <w:t xml:space="preserve">Monitoring </w:t>
      </w:r>
      <w:bookmarkEnd w:id="4"/>
      <w:r>
        <w:t>A</w:t>
      </w:r>
      <w:r w:rsidRPr="00134FB0">
        <w:t>ctivities</w:t>
      </w:r>
    </w:p>
    <w:p w14:paraId="5D71A2EC" w14:textId="77777777" w:rsidR="00A66D21" w:rsidRPr="00BC517B" w:rsidRDefault="00A66D21" w:rsidP="0047656E">
      <w:pPr>
        <w:pStyle w:val="EPMTextstyle"/>
        <w:ind w:left="851"/>
      </w:pPr>
      <w:r w:rsidRPr="00BC517B">
        <w:t>The organisation will record and monitor usage of all company IT equipment, user activity, voice traffic, email, and internet usage as deemed necessary.</w:t>
      </w:r>
    </w:p>
    <w:p w14:paraId="6B842547" w14:textId="77777777" w:rsidR="00A66D21" w:rsidRPr="00BC517B" w:rsidRDefault="00A66D21" w:rsidP="0047656E">
      <w:pPr>
        <w:pStyle w:val="EPMTextstyle"/>
        <w:ind w:left="851"/>
      </w:pPr>
      <w:r w:rsidRPr="00BC517B">
        <w:t xml:space="preserve">Those responsible for undertaking the monitoring will observe the strictest confidentiality when undertaking these activities. The report will be made directly to </w:t>
      </w:r>
      <w:r w:rsidRPr="00FA6B40">
        <w:rPr>
          <w:rStyle w:val="EPMBracketChar"/>
        </w:rPr>
        <w:t>[insert role]</w:t>
      </w:r>
      <w:r w:rsidRPr="00BC517B">
        <w:t>, who will determine any action that may need to be taken.</w:t>
      </w:r>
    </w:p>
    <w:p w14:paraId="7F9ABEBC" w14:textId="65AE1B41" w:rsidR="0047656E" w:rsidRDefault="00A66D21" w:rsidP="0047656E">
      <w:pPr>
        <w:pStyle w:val="EPMTextstyle"/>
        <w:ind w:left="851"/>
      </w:pPr>
      <w:r w:rsidRPr="00BC517B">
        <w:t xml:space="preserve">Monitoring of IT equipment, electronic data, telephone calls, emails, internet access, network access and remote access will be carried out to ensure that usage is in accordance with </w:t>
      </w:r>
      <w:r w:rsidR="00E23864" w:rsidRPr="00E23864">
        <w:rPr>
          <w:rStyle w:val="EPMBracketChar"/>
        </w:rPr>
        <w:t>the School/Trust</w:t>
      </w:r>
      <w:r w:rsidRPr="00BC517B">
        <w:t>’s policies, procedures and guidelines</w:t>
      </w:r>
      <w:r>
        <w:t>.</w:t>
      </w:r>
    </w:p>
    <w:p w14:paraId="47B55AFC" w14:textId="77777777" w:rsidR="0047656E" w:rsidRDefault="0047656E" w:rsidP="0047656E">
      <w:pPr>
        <w:pStyle w:val="EPMTextstyle"/>
        <w:ind w:left="851"/>
      </w:pPr>
    </w:p>
    <w:p w14:paraId="5241288B" w14:textId="6E943B57" w:rsidR="0047656E" w:rsidRDefault="0047656E" w:rsidP="0047656E">
      <w:pPr>
        <w:pStyle w:val="EPMTextstyle"/>
        <w:ind w:left="851"/>
        <w:sectPr w:rsidR="0047656E" w:rsidSect="000709C6">
          <w:pgSz w:w="11906" w:h="16838"/>
          <w:pgMar w:top="1695" w:right="1021" w:bottom="851" w:left="1021" w:header="709" w:footer="544" w:gutter="0"/>
          <w:cols w:space="708"/>
          <w:docGrid w:linePitch="360"/>
        </w:sectPr>
      </w:pPr>
    </w:p>
    <w:p w14:paraId="0783A99D" w14:textId="77777777" w:rsidR="00A66D21" w:rsidRPr="000C4C8F" w:rsidRDefault="00A66D21" w:rsidP="0047656E">
      <w:pPr>
        <w:pStyle w:val="EPMNumberedHeading"/>
        <w:ind w:left="851" w:hanging="851"/>
      </w:pPr>
      <w:r w:rsidRPr="000C4C8F">
        <w:lastRenderedPageBreak/>
        <w:t>Request for Data by Public Authorities</w:t>
      </w:r>
    </w:p>
    <w:p w14:paraId="610EB0AB" w14:textId="77777777" w:rsidR="00A66D21" w:rsidRPr="00BC517B" w:rsidRDefault="00A66D21" w:rsidP="0047656E">
      <w:pPr>
        <w:ind w:left="850"/>
        <w:rPr>
          <w:rFonts w:cs="Arial"/>
          <w:sz w:val="21"/>
          <w:szCs w:val="20"/>
        </w:rPr>
      </w:pPr>
      <w:r w:rsidRPr="00BC517B">
        <w:rPr>
          <w:rFonts w:cs="Arial"/>
          <w:sz w:val="21"/>
          <w:szCs w:val="20"/>
        </w:rPr>
        <w:t xml:space="preserve">Requests for personal data may come from public authorities, including but not limited to the following: </w:t>
      </w:r>
    </w:p>
    <w:p w14:paraId="0B9C78A6" w14:textId="77777777" w:rsidR="00A66D21" w:rsidRPr="000C4C8F" w:rsidRDefault="00A66D21" w:rsidP="0047656E">
      <w:pPr>
        <w:pStyle w:val="EPMBullets"/>
        <w:tabs>
          <w:tab w:val="clear" w:pos="851"/>
        </w:tabs>
        <w:ind w:left="1276" w:hanging="425"/>
      </w:pPr>
      <w:r w:rsidRPr="000C4C8F">
        <w:t xml:space="preserve">the </w:t>
      </w:r>
      <w:proofErr w:type="gramStart"/>
      <w:r w:rsidRPr="000C4C8F">
        <w:t>Police;</w:t>
      </w:r>
      <w:proofErr w:type="gramEnd"/>
    </w:p>
    <w:p w14:paraId="0CCD3AB2" w14:textId="77777777" w:rsidR="00A66D21" w:rsidRPr="000C4C8F" w:rsidRDefault="00A66D21" w:rsidP="0047656E">
      <w:pPr>
        <w:pStyle w:val="EPMBullets"/>
        <w:tabs>
          <w:tab w:val="clear" w:pos="851"/>
        </w:tabs>
        <w:ind w:left="1276" w:hanging="425"/>
      </w:pPr>
      <w:r w:rsidRPr="000C4C8F">
        <w:t xml:space="preserve">the Department of Work and </w:t>
      </w:r>
      <w:proofErr w:type="gramStart"/>
      <w:r w:rsidRPr="000C4C8F">
        <w:t>Pensions;</w:t>
      </w:r>
      <w:proofErr w:type="gramEnd"/>
    </w:p>
    <w:p w14:paraId="38516F98" w14:textId="77777777" w:rsidR="00A66D21" w:rsidRPr="000C4C8F" w:rsidRDefault="00A66D21" w:rsidP="0047656E">
      <w:pPr>
        <w:pStyle w:val="EPMBullets"/>
        <w:tabs>
          <w:tab w:val="clear" w:pos="851"/>
        </w:tabs>
        <w:ind w:left="1276" w:hanging="425"/>
      </w:pPr>
      <w:r w:rsidRPr="000C4C8F">
        <w:t xml:space="preserve">the UK Border </w:t>
      </w:r>
      <w:proofErr w:type="gramStart"/>
      <w:r w:rsidRPr="000C4C8F">
        <w:t>Agency;</w:t>
      </w:r>
      <w:proofErr w:type="gramEnd"/>
    </w:p>
    <w:p w14:paraId="2732E526" w14:textId="77777777" w:rsidR="00A66D21" w:rsidRPr="000C4C8F" w:rsidRDefault="00A66D21" w:rsidP="0047656E">
      <w:pPr>
        <w:pStyle w:val="EPMBullets"/>
        <w:tabs>
          <w:tab w:val="clear" w:pos="851"/>
        </w:tabs>
        <w:ind w:left="1276" w:hanging="425"/>
      </w:pPr>
      <w:r w:rsidRPr="000C4C8F">
        <w:t xml:space="preserve">HM Revenue &amp; </w:t>
      </w:r>
      <w:proofErr w:type="gramStart"/>
      <w:r w:rsidRPr="000C4C8F">
        <w:t>Customs;</w:t>
      </w:r>
      <w:proofErr w:type="gramEnd"/>
    </w:p>
    <w:p w14:paraId="668DAEDB" w14:textId="77777777" w:rsidR="00A66D21" w:rsidRPr="000C4C8F" w:rsidRDefault="00A66D21" w:rsidP="0047656E">
      <w:pPr>
        <w:pStyle w:val="EPMBullets"/>
        <w:tabs>
          <w:tab w:val="clear" w:pos="851"/>
        </w:tabs>
        <w:ind w:left="1276" w:hanging="425"/>
      </w:pPr>
      <w:r w:rsidRPr="000C4C8F">
        <w:t xml:space="preserve">Local </w:t>
      </w:r>
      <w:proofErr w:type="gramStart"/>
      <w:r w:rsidRPr="000C4C8F">
        <w:t>Authorities;</w:t>
      </w:r>
      <w:proofErr w:type="gramEnd"/>
    </w:p>
    <w:p w14:paraId="6479EF68" w14:textId="77777777" w:rsidR="00A66D21" w:rsidRPr="000C4C8F" w:rsidRDefault="00A66D21" w:rsidP="0047656E">
      <w:pPr>
        <w:pStyle w:val="EPMBullets"/>
        <w:tabs>
          <w:tab w:val="clear" w:pos="851"/>
        </w:tabs>
        <w:ind w:left="1276" w:hanging="425"/>
      </w:pPr>
      <w:r w:rsidRPr="000C4C8F">
        <w:t>DVLA.</w:t>
      </w:r>
    </w:p>
    <w:p w14:paraId="34E25F8B" w14:textId="77777777" w:rsidR="00A66D21" w:rsidRPr="00BC517B" w:rsidRDefault="00A66D21" w:rsidP="0047656E">
      <w:pPr>
        <w:pStyle w:val="EPMTextstyle"/>
        <w:ind w:left="851"/>
      </w:pPr>
      <w:r w:rsidRPr="00BC517B">
        <w:t>Requests received from a public authority will only be processed when submitted in writing, including electronic communication. Such requests for data usually require that the organisation does not inform, or gather consent from, the data subject when responding to the request. When a request is received, this should first be referred to the Data Protection Officer who will ensure that the request is valid.</w:t>
      </w:r>
    </w:p>
    <w:p w14:paraId="6B782D83" w14:textId="77777777" w:rsidR="00A66D21" w:rsidRPr="00BC517B" w:rsidRDefault="00A66D21" w:rsidP="0047656E">
      <w:pPr>
        <w:pStyle w:val="EPMTextstyle"/>
        <w:ind w:left="851"/>
      </w:pPr>
      <w:r w:rsidRPr="00BC517B">
        <w:t xml:space="preserve">Data can only be disclosed without the knowledge and consent of the data subject where it is processed for either the: </w:t>
      </w:r>
    </w:p>
    <w:p w14:paraId="7C76E882" w14:textId="77777777" w:rsidR="00A66D21" w:rsidRPr="000C4C8F" w:rsidRDefault="00A66D21" w:rsidP="0047656E">
      <w:pPr>
        <w:pStyle w:val="EPMBullets"/>
        <w:tabs>
          <w:tab w:val="clear" w:pos="851"/>
        </w:tabs>
        <w:ind w:left="1275" w:hanging="425"/>
      </w:pPr>
      <w:r w:rsidRPr="000C4C8F">
        <w:t xml:space="preserve">prevention or detection of </w:t>
      </w:r>
      <w:proofErr w:type="gramStart"/>
      <w:r w:rsidRPr="000C4C8F">
        <w:t>crime;</w:t>
      </w:r>
      <w:proofErr w:type="gramEnd"/>
    </w:p>
    <w:p w14:paraId="78C2AF0C" w14:textId="77777777" w:rsidR="00A66D21" w:rsidRPr="000C4C8F" w:rsidRDefault="00A66D21" w:rsidP="0047656E">
      <w:pPr>
        <w:pStyle w:val="EPMBullets"/>
        <w:tabs>
          <w:tab w:val="clear" w:pos="851"/>
        </w:tabs>
        <w:ind w:left="1275" w:hanging="425"/>
      </w:pPr>
      <w:r w:rsidRPr="000C4C8F">
        <w:t>apprehension or prosecution of offenders; or</w:t>
      </w:r>
    </w:p>
    <w:p w14:paraId="5FC247E2" w14:textId="77777777" w:rsidR="00A66D21" w:rsidRPr="000C4C8F" w:rsidRDefault="00A66D21" w:rsidP="0047656E">
      <w:pPr>
        <w:pStyle w:val="EPMBullets"/>
        <w:tabs>
          <w:tab w:val="clear" w:pos="851"/>
        </w:tabs>
        <w:ind w:left="1275" w:hanging="425"/>
      </w:pPr>
      <w:r w:rsidRPr="000C4C8F">
        <w:t xml:space="preserve">assessment or collection of tax or duty. </w:t>
      </w:r>
    </w:p>
    <w:p w14:paraId="3B4C91ED" w14:textId="77777777" w:rsidR="00A66D21" w:rsidRPr="00BC517B" w:rsidRDefault="00A66D21" w:rsidP="0047656E">
      <w:pPr>
        <w:pStyle w:val="EPMTextstyle"/>
        <w:ind w:left="850"/>
      </w:pPr>
      <w:r w:rsidRPr="00BC517B">
        <w:t>Additionally, it must be shown that informing or gathering consent from the data subject would likely prejudice the crime or taxation purposes.</w:t>
      </w:r>
    </w:p>
    <w:p w14:paraId="03870F5D" w14:textId="77777777" w:rsidR="00A66D21" w:rsidRPr="00BC517B" w:rsidRDefault="00A66D21" w:rsidP="0047656E">
      <w:pPr>
        <w:pStyle w:val="EPMTextstyle"/>
        <w:ind w:left="850"/>
      </w:pPr>
      <w:r w:rsidRPr="00BC517B">
        <w:t>Where these conditions are not met, the Data Protection Officer may decide to not disclose the data. Where the Data Protection Officer decides the records should not be disclosed or only partially disclosed, they must record in writing their reasons. A public authority may have a Court Order issued for the disclosure of documents. Any objections should be recorded along with the Court Order however the data should be disclosed.</w:t>
      </w:r>
    </w:p>
    <w:p w14:paraId="6F65033A" w14:textId="77777777" w:rsidR="00A66D21" w:rsidRPr="0057181D" w:rsidRDefault="00A66D21" w:rsidP="00ED43B6">
      <w:pPr>
        <w:pStyle w:val="EPMNumberedHeading"/>
        <w:ind w:left="851" w:hanging="851"/>
      </w:pPr>
      <w:r w:rsidRPr="0057181D">
        <w:t>Training</w:t>
      </w:r>
    </w:p>
    <w:p w14:paraId="1139BADD" w14:textId="77777777" w:rsidR="00A66D21" w:rsidRPr="0058025F" w:rsidRDefault="00A66D21" w:rsidP="0047656E">
      <w:pPr>
        <w:pStyle w:val="EPMTextstyle"/>
        <w:ind w:left="850"/>
        <w:rPr>
          <w:b/>
        </w:rPr>
      </w:pPr>
      <w:r w:rsidRPr="00BC517B">
        <w:t>All new and existing employees who handle personal data will receive training on data protection procedures, which includes information about the standards the organisation expects its employees to observe in the use of personal data</w:t>
      </w:r>
      <w:r w:rsidRPr="0058025F">
        <w:t>.</w:t>
      </w:r>
    </w:p>
    <w:p w14:paraId="6EC26E40" w14:textId="77777777" w:rsidR="00A66D21" w:rsidRPr="0059350D" w:rsidRDefault="00A66D21" w:rsidP="0047656E">
      <w:pPr>
        <w:pStyle w:val="EPMNumberedHeading"/>
        <w:ind w:left="851" w:hanging="851"/>
      </w:pPr>
      <w:r w:rsidRPr="0059350D">
        <w:t>References</w:t>
      </w:r>
    </w:p>
    <w:p w14:paraId="340C6F68" w14:textId="77777777" w:rsidR="00A66D21" w:rsidRPr="00BC517B" w:rsidRDefault="00A66D21" w:rsidP="0047656E">
      <w:pPr>
        <w:pStyle w:val="EPMTextstyle"/>
        <w:ind w:left="850"/>
      </w:pPr>
      <w:r w:rsidRPr="00BC517B">
        <w:t xml:space="preserve">The Governing Body/Trustees will comply with DfE guidance on references as amended from time to time, </w:t>
      </w:r>
      <w:proofErr w:type="gramStart"/>
      <w:r w:rsidRPr="00BC517B">
        <w:t>in particular in</w:t>
      </w:r>
      <w:proofErr w:type="gramEnd"/>
      <w:r w:rsidRPr="00BC517B">
        <w:t xml:space="preserve"> relation to safeguarding children and safer recruitment in education.</w:t>
      </w:r>
    </w:p>
    <w:p w14:paraId="5C1AC0D2" w14:textId="77777777" w:rsidR="00A66D21" w:rsidRPr="0059350D" w:rsidRDefault="00A66D21" w:rsidP="0047656E">
      <w:pPr>
        <w:pStyle w:val="EPMNumberedHeading"/>
        <w:ind w:left="851" w:hanging="851"/>
      </w:pPr>
      <w:r w:rsidRPr="0059350D">
        <w:t>Review of Policy</w:t>
      </w:r>
    </w:p>
    <w:p w14:paraId="6A198B68" w14:textId="77777777" w:rsidR="0047656E" w:rsidRDefault="00A66D21" w:rsidP="0047656E">
      <w:pPr>
        <w:pStyle w:val="EPMTextstyle"/>
        <w:ind w:left="850"/>
        <w:sectPr w:rsidR="0047656E" w:rsidSect="000709C6">
          <w:pgSz w:w="11906" w:h="16838"/>
          <w:pgMar w:top="1695" w:right="1021" w:bottom="851" w:left="1021" w:header="709" w:footer="544" w:gutter="0"/>
          <w:cols w:space="708"/>
          <w:docGrid w:linePitch="360"/>
        </w:sectPr>
      </w:pPr>
      <w:r w:rsidRPr="0047656E">
        <w:t xml:space="preserve">This policy shall be reviewed as necessary. We reserve the right to change this policy at any time. Where </w:t>
      </w:r>
      <w:r w:rsidRPr="0057181D">
        <w:rPr>
          <w:b/>
          <w:bCs/>
        </w:rPr>
        <w:t>appropriate</w:t>
      </w:r>
      <w:r w:rsidRPr="0047656E">
        <w:t>, we will notify data subjects of those changes by mail, email and/or staff notice board.</w:t>
      </w:r>
    </w:p>
    <w:p w14:paraId="618DD156" w14:textId="77777777" w:rsidR="00A66D21" w:rsidRPr="0058025F" w:rsidRDefault="00A66D21" w:rsidP="0047656E">
      <w:pPr>
        <w:pStyle w:val="EPMNumberedHeading"/>
        <w:ind w:left="851" w:hanging="851"/>
      </w:pPr>
      <w:r w:rsidRPr="0058025F">
        <w:lastRenderedPageBreak/>
        <w:t>Other related documents:</w:t>
      </w:r>
    </w:p>
    <w:p w14:paraId="18A4BBD8" w14:textId="77777777" w:rsidR="00A66D21" w:rsidRPr="0047656E" w:rsidRDefault="00A66D21" w:rsidP="0047656E">
      <w:pPr>
        <w:pStyle w:val="EPMTextstyle"/>
        <w:ind w:left="851"/>
      </w:pPr>
      <w:r w:rsidRPr="0047656E">
        <w:t xml:space="preserve">This policy is supported by the following documents </w:t>
      </w:r>
      <w:r w:rsidRPr="0047656E">
        <w:rPr>
          <w:rStyle w:val="EPMBracketChar"/>
        </w:rPr>
        <w:t>[to be amended to reflect internal policies in place, however, may include]</w:t>
      </w:r>
      <w:r w:rsidRPr="0047656E">
        <w:rPr>
          <w:rStyle w:val="SquareBracketsChar"/>
          <w:rFonts w:cs="Arial"/>
          <w:i w:val="0"/>
          <w:color w:val="auto"/>
          <w:sz w:val="21"/>
          <w:szCs w:val="20"/>
        </w:rPr>
        <w:t>:</w:t>
      </w:r>
    </w:p>
    <w:p w14:paraId="02C6FAA8" w14:textId="77777777" w:rsidR="00A66D21" w:rsidRPr="0058025F" w:rsidRDefault="00A66D21" w:rsidP="0047656E">
      <w:pPr>
        <w:pStyle w:val="EPMBullets"/>
        <w:tabs>
          <w:tab w:val="clear" w:pos="851"/>
        </w:tabs>
        <w:ind w:left="1276" w:hanging="425"/>
      </w:pPr>
      <w:r w:rsidRPr="0058025F">
        <w:t>Subject Access Request Policy</w:t>
      </w:r>
    </w:p>
    <w:p w14:paraId="268AA073" w14:textId="77777777" w:rsidR="00A66D21" w:rsidRPr="0058025F" w:rsidRDefault="00A66D21" w:rsidP="0047656E">
      <w:pPr>
        <w:pStyle w:val="EPMBullets"/>
        <w:tabs>
          <w:tab w:val="clear" w:pos="851"/>
        </w:tabs>
        <w:ind w:left="1276" w:hanging="425"/>
      </w:pPr>
      <w:r w:rsidRPr="0058025F">
        <w:t>IT Acceptable Use Policy</w:t>
      </w:r>
    </w:p>
    <w:p w14:paraId="2F3A3612" w14:textId="77777777" w:rsidR="00A66D21" w:rsidRPr="0058025F" w:rsidRDefault="00A66D21" w:rsidP="0047656E">
      <w:pPr>
        <w:pStyle w:val="EPMBullets"/>
        <w:tabs>
          <w:tab w:val="clear" w:pos="851"/>
        </w:tabs>
        <w:ind w:left="1276" w:hanging="425"/>
      </w:pPr>
      <w:r w:rsidRPr="0058025F">
        <w:t>Privacy Notices</w:t>
      </w:r>
    </w:p>
    <w:p w14:paraId="6739164C" w14:textId="77777777" w:rsidR="00A66D21" w:rsidRPr="0058025F" w:rsidRDefault="00A66D21" w:rsidP="0047656E">
      <w:pPr>
        <w:pStyle w:val="EPMBullets"/>
        <w:tabs>
          <w:tab w:val="clear" w:pos="851"/>
        </w:tabs>
        <w:ind w:left="1276" w:hanging="425"/>
      </w:pPr>
      <w:r w:rsidRPr="0058025F">
        <w:t>Data Retention Policy</w:t>
      </w:r>
    </w:p>
    <w:p w14:paraId="14193F93" w14:textId="77777777" w:rsidR="00A66D21" w:rsidRPr="0058025F" w:rsidRDefault="00A66D21" w:rsidP="0047656E">
      <w:pPr>
        <w:pStyle w:val="EPMBullets"/>
        <w:tabs>
          <w:tab w:val="clear" w:pos="851"/>
        </w:tabs>
        <w:ind w:left="1276" w:hanging="425"/>
      </w:pPr>
      <w:r>
        <w:t>Code of Conduct/</w:t>
      </w:r>
      <w:r w:rsidRPr="0058025F">
        <w:t>Disciplinary Policy</w:t>
      </w:r>
    </w:p>
    <w:p w14:paraId="27A89557" w14:textId="77777777" w:rsidR="00A66D21" w:rsidRPr="0058025F" w:rsidRDefault="00A66D21" w:rsidP="0047656E">
      <w:pPr>
        <w:pStyle w:val="EPMNumberedHeading"/>
        <w:ind w:left="851" w:hanging="851"/>
      </w:pPr>
      <w:r w:rsidRPr="0058025F">
        <w:t>Relevant Contacts:</w:t>
      </w:r>
    </w:p>
    <w:p w14:paraId="0975E128" w14:textId="77777777" w:rsidR="00A66D21" w:rsidRPr="00ED43B6" w:rsidRDefault="00A66D21" w:rsidP="00ED43B6">
      <w:pPr>
        <w:pStyle w:val="EPMSubheading"/>
        <w:ind w:left="850"/>
        <w:rPr>
          <w:lang w:val="en-US"/>
        </w:rPr>
      </w:pPr>
      <w:r w:rsidRPr="00ED43B6">
        <w:rPr>
          <w:lang w:val="en-US"/>
        </w:rPr>
        <w:t>Data Protection Officer</w:t>
      </w:r>
    </w:p>
    <w:p w14:paraId="0A4B7801" w14:textId="77777777" w:rsidR="00A66D21" w:rsidRPr="0058025F" w:rsidRDefault="00A66D21" w:rsidP="0047656E">
      <w:pPr>
        <w:pStyle w:val="EPMTextstyle"/>
        <w:ind w:left="850"/>
      </w:pPr>
      <w:r w:rsidRPr="0058025F">
        <w:t xml:space="preserve">Please refer any queries, issues or requests received </w:t>
      </w:r>
      <w:r w:rsidRPr="0047656E">
        <w:t>to</w:t>
      </w:r>
      <w:r w:rsidRPr="0058025F">
        <w:t xml:space="preserve"> the Data Protection Officer:</w:t>
      </w:r>
    </w:p>
    <w:p w14:paraId="0C4761E2" w14:textId="77777777" w:rsidR="00A66D21" w:rsidRPr="00C174AA" w:rsidRDefault="00A66D21" w:rsidP="0047656E">
      <w:pPr>
        <w:pStyle w:val="EPMTextstyle"/>
        <w:ind w:left="851"/>
        <w:rPr>
          <w:rStyle w:val="EPMBracketChar"/>
        </w:rPr>
      </w:pPr>
      <w:r w:rsidRPr="00C174AA">
        <w:rPr>
          <w:rStyle w:val="EPMBracketChar"/>
        </w:rPr>
        <w:t>[Insert name]</w:t>
      </w:r>
      <w:r>
        <w:rPr>
          <w:rStyle w:val="SquareBracketsChar"/>
          <w:rFonts w:asciiTheme="minorHAnsi" w:hAnsiTheme="minorHAnsi"/>
          <w:color w:val="1381BE"/>
        </w:rPr>
        <w:br/>
      </w:r>
      <w:r w:rsidRPr="0058025F">
        <w:t>Data Protection Officer</w:t>
      </w:r>
      <w:r>
        <w:br/>
      </w:r>
      <w:r w:rsidRPr="00C174AA">
        <w:rPr>
          <w:rStyle w:val="EPMBracketChar"/>
        </w:rPr>
        <w:t>[Insert telephone number]</w:t>
      </w:r>
      <w:r w:rsidRPr="00C174AA">
        <w:rPr>
          <w:rStyle w:val="EPMBracketChar"/>
        </w:rPr>
        <w:br/>
        <w:t>[Insert email address]</w:t>
      </w:r>
    </w:p>
    <w:p w14:paraId="2982D253" w14:textId="77777777" w:rsidR="00A66D21" w:rsidRPr="00ED43B6" w:rsidRDefault="00A66D21" w:rsidP="00ED43B6">
      <w:pPr>
        <w:pStyle w:val="EPMSubheading"/>
        <w:ind w:left="850"/>
        <w:rPr>
          <w:lang w:val="en-US"/>
        </w:rPr>
      </w:pPr>
      <w:r w:rsidRPr="00ED43B6">
        <w:rPr>
          <w:lang w:val="en-US"/>
        </w:rPr>
        <w:t>ICO contact details</w:t>
      </w:r>
    </w:p>
    <w:p w14:paraId="1ACB8EF9" w14:textId="77777777" w:rsidR="00A66D21" w:rsidRPr="00C174AA" w:rsidRDefault="00A66D21" w:rsidP="0047656E">
      <w:pPr>
        <w:pStyle w:val="EPMTextstyle"/>
        <w:ind w:left="851"/>
      </w:pPr>
      <w:r w:rsidRPr="00C174AA">
        <w:t xml:space="preserve">If you require more information about the General Data Protection Regulation, the Data Protection Bill, or are unhappy with the way </w:t>
      </w:r>
      <w:r w:rsidRPr="0047656E">
        <w:rPr>
          <w:rStyle w:val="EPMBracketChar"/>
        </w:rPr>
        <w:t>[name]</w:t>
      </w:r>
      <w:r w:rsidRPr="00C174AA">
        <w:t xml:space="preserve"> has dealt with your data please contact:</w:t>
      </w:r>
    </w:p>
    <w:p w14:paraId="0E38B19D" w14:textId="77777777" w:rsidR="00A66D21" w:rsidRPr="00C174AA" w:rsidRDefault="00A66D21" w:rsidP="0047656E">
      <w:pPr>
        <w:pStyle w:val="EPMTextstyle"/>
        <w:ind w:left="851"/>
      </w:pPr>
      <w:r w:rsidRPr="00C174AA">
        <w:t>The Information Commissioner</w:t>
      </w:r>
      <w:r w:rsidRPr="00C174AA">
        <w:br/>
        <w:t>Wycliffe House</w:t>
      </w:r>
      <w:r w:rsidRPr="00C174AA">
        <w:br/>
        <w:t>Water Lane</w:t>
      </w:r>
      <w:r w:rsidRPr="00C174AA">
        <w:br/>
        <w:t>Wilmslow</w:t>
      </w:r>
      <w:r w:rsidRPr="00C174AA">
        <w:br/>
        <w:t>Cheshire</w:t>
      </w:r>
      <w:r w:rsidRPr="00C174AA">
        <w:br/>
        <w:t>SK9 5AF</w:t>
      </w:r>
    </w:p>
    <w:p w14:paraId="30028EA1" w14:textId="77777777" w:rsidR="00A66D21" w:rsidRPr="0047656E" w:rsidRDefault="004B5130" w:rsidP="0047656E">
      <w:pPr>
        <w:pStyle w:val="EPMHyperlinks"/>
        <w:ind w:left="850"/>
      </w:pPr>
      <w:hyperlink r:id="rId15">
        <w:r w:rsidR="00A66D21">
          <w:t>www.ico.org.uk</w:t>
        </w:r>
      </w:hyperlink>
      <w:r w:rsidR="00A66D21">
        <w:t xml:space="preserve"> </w:t>
      </w:r>
    </w:p>
    <w:p w14:paraId="198D9E01" w14:textId="2E468224" w:rsidR="57504E55" w:rsidRDefault="57504E55" w:rsidP="57504E55">
      <w:pPr>
        <w:pStyle w:val="EPMHyperlinks"/>
        <w:ind w:left="850"/>
      </w:pPr>
    </w:p>
    <w:p w14:paraId="3308C80B" w14:textId="37C175F7" w:rsidR="57504E55" w:rsidRDefault="57504E55" w:rsidP="57504E55">
      <w:pPr>
        <w:pStyle w:val="EPMHyperlinks"/>
        <w:ind w:left="850"/>
      </w:pPr>
    </w:p>
    <w:p w14:paraId="1506E631" w14:textId="79D43B24" w:rsidR="57504E55" w:rsidRDefault="57504E55" w:rsidP="57504E55">
      <w:pPr>
        <w:pStyle w:val="EPMHyperlinks"/>
        <w:ind w:left="850"/>
      </w:pPr>
    </w:p>
    <w:p w14:paraId="74CAE13F" w14:textId="59ED90B0" w:rsidR="57504E55" w:rsidRDefault="57504E55" w:rsidP="57504E55">
      <w:pPr>
        <w:pStyle w:val="EPMHyperlinks"/>
        <w:ind w:left="850"/>
      </w:pPr>
    </w:p>
    <w:p w14:paraId="609369F2" w14:textId="2D37A392" w:rsidR="57504E55" w:rsidRDefault="57504E55" w:rsidP="57504E55">
      <w:pPr>
        <w:pStyle w:val="EPMHyperlinks"/>
        <w:ind w:left="850"/>
      </w:pPr>
    </w:p>
    <w:p w14:paraId="2B6A1C79" w14:textId="106450DF" w:rsidR="57504E55" w:rsidRDefault="57504E55" w:rsidP="57504E55">
      <w:pPr>
        <w:pStyle w:val="EPMHyperlinks"/>
        <w:ind w:left="850"/>
      </w:pPr>
    </w:p>
    <w:p w14:paraId="67882716" w14:textId="77777777" w:rsidR="00291B89" w:rsidRDefault="00291B89" w:rsidP="57504E55">
      <w:pPr>
        <w:pStyle w:val="EPMHyperlinks"/>
        <w:ind w:left="850"/>
      </w:pPr>
    </w:p>
    <w:p w14:paraId="38C896C0" w14:textId="4CB12382" w:rsidR="57504E55" w:rsidRDefault="57504E55" w:rsidP="57504E55">
      <w:pPr>
        <w:pStyle w:val="EPMHyperlinks"/>
        <w:ind w:left="850"/>
      </w:pPr>
    </w:p>
    <w:p w14:paraId="450AF312" w14:textId="3D8A08B0" w:rsidR="57504E55" w:rsidRDefault="57504E55" w:rsidP="57504E55">
      <w:pPr>
        <w:pStyle w:val="EPMHyperlinks"/>
        <w:ind w:left="850"/>
      </w:pPr>
    </w:p>
    <w:p w14:paraId="55B6C84A" w14:textId="339CF352" w:rsidR="0DC4A895" w:rsidRPr="00A84765" w:rsidRDefault="0DC4A895" w:rsidP="57504E55">
      <w:pPr>
        <w:pStyle w:val="Heading1"/>
        <w:rPr>
          <w:rFonts w:eastAsiaTheme="minorHAnsi" w:cs="Arial"/>
          <w:b/>
          <w:color w:val="auto"/>
          <w:szCs w:val="24"/>
        </w:rPr>
      </w:pPr>
      <w:r w:rsidRPr="00A84765">
        <w:rPr>
          <w:rFonts w:eastAsiaTheme="minorHAnsi" w:cs="Arial"/>
          <w:b/>
          <w:color w:val="auto"/>
          <w:szCs w:val="24"/>
        </w:rPr>
        <w:lastRenderedPageBreak/>
        <w:t>Appendix A</w:t>
      </w:r>
    </w:p>
    <w:p w14:paraId="0B8B4B3F" w14:textId="0F3C246B" w:rsidR="0DC4A895" w:rsidRDefault="0DC4A895" w:rsidP="00291B89">
      <w:pPr>
        <w:pStyle w:val="EPMHeading2"/>
        <w:spacing w:before="360"/>
      </w:pPr>
      <w:r w:rsidRPr="00291B89">
        <w:t>Breach Register</w:t>
      </w:r>
    </w:p>
    <w:tbl>
      <w:tblPr>
        <w:tblStyle w:val="TableGrid"/>
        <w:tblW w:w="9855" w:type="dxa"/>
        <w:tblInd w:w="105" w:type="dxa"/>
        <w:tblLayout w:type="fixed"/>
        <w:tblLook w:val="04A0" w:firstRow="1" w:lastRow="0" w:firstColumn="1" w:lastColumn="0" w:noHBand="0" w:noVBand="1"/>
      </w:tblPr>
      <w:tblGrid>
        <w:gridCol w:w="1019"/>
        <w:gridCol w:w="1832"/>
        <w:gridCol w:w="1998"/>
        <w:gridCol w:w="1420"/>
        <w:gridCol w:w="1129"/>
        <w:gridCol w:w="1134"/>
        <w:gridCol w:w="1323"/>
      </w:tblGrid>
      <w:tr w:rsidR="57504E55" w14:paraId="52B9E1E1" w14:textId="77777777" w:rsidTr="00FE45A2">
        <w:trPr>
          <w:trHeight w:val="915"/>
        </w:trPr>
        <w:tc>
          <w:tcPr>
            <w:tcW w:w="1019" w:type="dxa"/>
            <w:tcBorders>
              <w:top w:val="single" w:sz="4" w:space="0" w:color="auto"/>
              <w:left w:val="single" w:sz="4" w:space="0" w:color="auto"/>
              <w:bottom w:val="single" w:sz="4" w:space="0" w:color="auto"/>
              <w:right w:val="single" w:sz="4" w:space="0" w:color="auto"/>
            </w:tcBorders>
            <w:shd w:val="clear" w:color="auto" w:fill="F0F0EB"/>
            <w:tcMar>
              <w:top w:w="72" w:type="dxa"/>
              <w:left w:w="72" w:type="dxa"/>
              <w:bottom w:w="72" w:type="dxa"/>
              <w:right w:w="72" w:type="dxa"/>
            </w:tcMar>
          </w:tcPr>
          <w:p w14:paraId="5FB99CFC" w14:textId="3C83FD97" w:rsidR="57504E55" w:rsidRPr="00C949FF" w:rsidRDefault="57504E55" w:rsidP="00AD0020">
            <w:pPr>
              <w:spacing w:before="60" w:after="60"/>
              <w:rPr>
                <w:rFonts w:cs="Arial"/>
                <w:b/>
                <w:bCs/>
                <w:sz w:val="22"/>
                <w:szCs w:val="40"/>
              </w:rPr>
            </w:pPr>
            <w:r w:rsidRPr="00C949FF">
              <w:rPr>
                <w:rFonts w:cs="Arial"/>
                <w:b/>
                <w:bCs/>
                <w:sz w:val="22"/>
                <w:szCs w:val="40"/>
              </w:rPr>
              <w:t>Number</w:t>
            </w:r>
          </w:p>
        </w:tc>
        <w:tc>
          <w:tcPr>
            <w:tcW w:w="1832" w:type="dxa"/>
            <w:tcBorders>
              <w:top w:val="single" w:sz="4" w:space="0" w:color="auto"/>
              <w:left w:val="single" w:sz="4" w:space="0" w:color="auto"/>
              <w:bottom w:val="single" w:sz="4" w:space="0" w:color="auto"/>
              <w:right w:val="single" w:sz="4" w:space="0" w:color="auto"/>
            </w:tcBorders>
            <w:shd w:val="clear" w:color="auto" w:fill="F0F0EB"/>
            <w:tcMar>
              <w:top w:w="72" w:type="dxa"/>
              <w:left w:w="72" w:type="dxa"/>
              <w:bottom w:w="72" w:type="dxa"/>
              <w:right w:w="72" w:type="dxa"/>
            </w:tcMar>
          </w:tcPr>
          <w:p w14:paraId="56F234D0" w14:textId="25E7C01D" w:rsidR="57504E55" w:rsidRPr="00C949FF" w:rsidRDefault="57504E55" w:rsidP="00AD0020">
            <w:pPr>
              <w:spacing w:before="60" w:after="60"/>
              <w:rPr>
                <w:rFonts w:cs="Arial"/>
                <w:b/>
                <w:bCs/>
                <w:sz w:val="22"/>
                <w:szCs w:val="40"/>
              </w:rPr>
            </w:pPr>
            <w:r w:rsidRPr="00C949FF">
              <w:rPr>
                <w:rFonts w:cs="Arial"/>
                <w:b/>
                <w:bCs/>
                <w:sz w:val="22"/>
                <w:szCs w:val="40"/>
              </w:rPr>
              <w:t>Details</w:t>
            </w:r>
          </w:p>
        </w:tc>
        <w:tc>
          <w:tcPr>
            <w:tcW w:w="1998" w:type="dxa"/>
            <w:tcBorders>
              <w:top w:val="single" w:sz="4" w:space="0" w:color="auto"/>
              <w:left w:val="single" w:sz="4" w:space="0" w:color="auto"/>
              <w:bottom w:val="single" w:sz="4" w:space="0" w:color="auto"/>
              <w:right w:val="single" w:sz="4" w:space="0" w:color="auto"/>
            </w:tcBorders>
            <w:shd w:val="clear" w:color="auto" w:fill="F0F0EB"/>
            <w:tcMar>
              <w:top w:w="72" w:type="dxa"/>
              <w:left w:w="72" w:type="dxa"/>
              <w:bottom w:w="72" w:type="dxa"/>
              <w:right w:w="72" w:type="dxa"/>
            </w:tcMar>
          </w:tcPr>
          <w:p w14:paraId="3701A891" w14:textId="258EAD3B" w:rsidR="57504E55" w:rsidRPr="00C949FF" w:rsidRDefault="57504E55" w:rsidP="00AD0020">
            <w:pPr>
              <w:spacing w:before="60" w:after="60"/>
              <w:rPr>
                <w:rFonts w:cs="Arial"/>
                <w:b/>
                <w:bCs/>
                <w:sz w:val="22"/>
                <w:szCs w:val="40"/>
              </w:rPr>
            </w:pPr>
            <w:r w:rsidRPr="00C949FF">
              <w:rPr>
                <w:rFonts w:cs="Arial"/>
                <w:b/>
                <w:bCs/>
                <w:sz w:val="22"/>
                <w:szCs w:val="40"/>
              </w:rPr>
              <w:t>Effects and Consequences</w:t>
            </w:r>
          </w:p>
        </w:tc>
        <w:tc>
          <w:tcPr>
            <w:tcW w:w="1420" w:type="dxa"/>
            <w:tcBorders>
              <w:top w:val="single" w:sz="4" w:space="0" w:color="auto"/>
              <w:left w:val="single" w:sz="4" w:space="0" w:color="auto"/>
              <w:bottom w:val="single" w:sz="4" w:space="0" w:color="auto"/>
              <w:right w:val="single" w:sz="4" w:space="0" w:color="auto"/>
            </w:tcBorders>
            <w:shd w:val="clear" w:color="auto" w:fill="F0F0EB"/>
            <w:tcMar>
              <w:top w:w="72" w:type="dxa"/>
              <w:left w:w="72" w:type="dxa"/>
              <w:bottom w:w="72" w:type="dxa"/>
              <w:right w:w="72" w:type="dxa"/>
            </w:tcMar>
          </w:tcPr>
          <w:p w14:paraId="0D42A194" w14:textId="1E219A5E" w:rsidR="57504E55" w:rsidRPr="00C949FF" w:rsidRDefault="57504E55" w:rsidP="00AD0020">
            <w:pPr>
              <w:spacing w:before="60" w:after="60"/>
              <w:rPr>
                <w:rFonts w:cs="Arial"/>
                <w:b/>
                <w:bCs/>
                <w:sz w:val="22"/>
                <w:szCs w:val="40"/>
              </w:rPr>
            </w:pPr>
            <w:r w:rsidRPr="00C949FF">
              <w:rPr>
                <w:rFonts w:cs="Arial"/>
                <w:b/>
                <w:bCs/>
                <w:sz w:val="22"/>
                <w:szCs w:val="40"/>
              </w:rPr>
              <w:t>Remedial Action Taken</w:t>
            </w:r>
          </w:p>
        </w:tc>
        <w:tc>
          <w:tcPr>
            <w:tcW w:w="1129" w:type="dxa"/>
            <w:tcBorders>
              <w:top w:val="single" w:sz="4" w:space="0" w:color="auto"/>
              <w:left w:val="single" w:sz="4" w:space="0" w:color="auto"/>
              <w:bottom w:val="single" w:sz="4" w:space="0" w:color="auto"/>
              <w:right w:val="single" w:sz="4" w:space="0" w:color="auto"/>
            </w:tcBorders>
            <w:shd w:val="clear" w:color="auto" w:fill="F0F0EB"/>
            <w:tcMar>
              <w:top w:w="72" w:type="dxa"/>
              <w:left w:w="72" w:type="dxa"/>
              <w:bottom w:w="72" w:type="dxa"/>
              <w:right w:w="72" w:type="dxa"/>
            </w:tcMar>
          </w:tcPr>
          <w:p w14:paraId="1145A5F7" w14:textId="53AC45B9" w:rsidR="57504E55" w:rsidRPr="00C949FF" w:rsidRDefault="57504E55" w:rsidP="00AD0020">
            <w:pPr>
              <w:spacing w:before="60" w:after="60"/>
              <w:rPr>
                <w:rFonts w:cs="Arial"/>
                <w:b/>
                <w:bCs/>
                <w:sz w:val="22"/>
                <w:szCs w:val="40"/>
              </w:rPr>
            </w:pPr>
            <w:r w:rsidRPr="00C949FF">
              <w:rPr>
                <w:rFonts w:cs="Arial"/>
                <w:b/>
                <w:bCs/>
                <w:sz w:val="22"/>
                <w:szCs w:val="40"/>
              </w:rPr>
              <w:t>Reported</w:t>
            </w:r>
            <w:r w:rsidRPr="00C949FF">
              <w:rPr>
                <w:rFonts w:cs="Arial"/>
                <w:b/>
                <w:bCs/>
                <w:sz w:val="22"/>
                <w:szCs w:val="40"/>
              </w:rPr>
              <w:br/>
              <w:t xml:space="preserve">to ICO </w:t>
            </w:r>
            <w:r w:rsidRPr="00C949FF">
              <w:rPr>
                <w:rFonts w:cs="Arial"/>
                <w:b/>
                <w:bCs/>
                <w:sz w:val="22"/>
                <w:szCs w:val="40"/>
              </w:rPr>
              <w:br/>
              <w:t>Y/N</w:t>
            </w:r>
          </w:p>
        </w:tc>
        <w:tc>
          <w:tcPr>
            <w:tcW w:w="1134" w:type="dxa"/>
            <w:tcBorders>
              <w:top w:val="single" w:sz="4" w:space="0" w:color="auto"/>
              <w:left w:val="single" w:sz="4" w:space="0" w:color="auto"/>
              <w:bottom w:val="single" w:sz="4" w:space="0" w:color="auto"/>
              <w:right w:val="single" w:sz="4" w:space="0" w:color="auto"/>
            </w:tcBorders>
            <w:shd w:val="clear" w:color="auto" w:fill="F0F0EB"/>
            <w:tcMar>
              <w:top w:w="72" w:type="dxa"/>
              <w:left w:w="72" w:type="dxa"/>
              <w:bottom w:w="72" w:type="dxa"/>
              <w:right w:w="72" w:type="dxa"/>
            </w:tcMar>
          </w:tcPr>
          <w:p w14:paraId="4661E0B8" w14:textId="066E778E" w:rsidR="57504E55" w:rsidRPr="00C949FF" w:rsidRDefault="57504E55" w:rsidP="00AD0020">
            <w:pPr>
              <w:spacing w:before="60" w:after="60"/>
              <w:rPr>
                <w:rFonts w:cs="Arial"/>
                <w:b/>
                <w:bCs/>
                <w:sz w:val="22"/>
                <w:szCs w:val="40"/>
              </w:rPr>
            </w:pPr>
            <w:r w:rsidRPr="00C949FF">
              <w:rPr>
                <w:rFonts w:cs="Arial"/>
                <w:b/>
                <w:bCs/>
                <w:sz w:val="22"/>
                <w:szCs w:val="40"/>
              </w:rPr>
              <w:t>Reported to Data Subject Y/N</w:t>
            </w:r>
          </w:p>
        </w:tc>
        <w:tc>
          <w:tcPr>
            <w:tcW w:w="1323" w:type="dxa"/>
            <w:tcBorders>
              <w:top w:val="single" w:sz="4" w:space="0" w:color="auto"/>
              <w:left w:val="single" w:sz="4" w:space="0" w:color="auto"/>
              <w:bottom w:val="single" w:sz="4" w:space="0" w:color="auto"/>
              <w:right w:val="single" w:sz="4" w:space="0" w:color="auto"/>
            </w:tcBorders>
            <w:shd w:val="clear" w:color="auto" w:fill="F0F0EB"/>
            <w:tcMar>
              <w:top w:w="72" w:type="dxa"/>
              <w:left w:w="72" w:type="dxa"/>
              <w:bottom w:w="72" w:type="dxa"/>
              <w:right w:w="72" w:type="dxa"/>
            </w:tcMar>
          </w:tcPr>
          <w:p w14:paraId="41F2D3ED" w14:textId="040CB634" w:rsidR="57504E55" w:rsidRPr="00C949FF" w:rsidRDefault="57504E55" w:rsidP="00AD0020">
            <w:pPr>
              <w:spacing w:before="60" w:after="60"/>
              <w:rPr>
                <w:rFonts w:cs="Arial"/>
                <w:b/>
                <w:bCs/>
                <w:sz w:val="22"/>
                <w:szCs w:val="40"/>
              </w:rPr>
            </w:pPr>
            <w:r w:rsidRPr="00C949FF">
              <w:rPr>
                <w:rFonts w:cs="Arial"/>
                <w:b/>
                <w:bCs/>
                <w:sz w:val="22"/>
                <w:szCs w:val="40"/>
              </w:rPr>
              <w:t>Rationale</w:t>
            </w:r>
          </w:p>
        </w:tc>
      </w:tr>
      <w:tr w:rsidR="57504E55" w14:paraId="1CCD5F83" w14:textId="77777777" w:rsidTr="00932066">
        <w:trPr>
          <w:trHeight w:val="315"/>
        </w:trPr>
        <w:tc>
          <w:tcPr>
            <w:tcW w:w="1019"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14:paraId="4C3EED3E" w14:textId="0C40BEBC" w:rsidR="57504E55" w:rsidRDefault="57504E55" w:rsidP="57504E55">
            <w:r w:rsidRPr="57504E55">
              <w:rPr>
                <w:rFonts w:ascii="Calibri" w:eastAsia="Calibri" w:hAnsi="Calibri" w:cs="Calibri"/>
                <w:color w:val="44474A"/>
                <w:sz w:val="22"/>
                <w:szCs w:val="22"/>
              </w:rPr>
              <w:t xml:space="preserve"> </w:t>
            </w:r>
          </w:p>
        </w:tc>
        <w:tc>
          <w:tcPr>
            <w:tcW w:w="1832"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14:paraId="04CA4925" w14:textId="6C8CD978" w:rsidR="57504E55" w:rsidRDefault="57504E55" w:rsidP="57504E55">
            <w:r w:rsidRPr="57504E55">
              <w:rPr>
                <w:rFonts w:ascii="Calibri" w:eastAsia="Calibri" w:hAnsi="Calibri" w:cs="Calibri"/>
                <w:color w:val="44474A"/>
                <w:sz w:val="22"/>
                <w:szCs w:val="22"/>
              </w:rPr>
              <w:t xml:space="preserve"> </w:t>
            </w:r>
          </w:p>
        </w:tc>
        <w:tc>
          <w:tcPr>
            <w:tcW w:w="1998"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14:paraId="2235A8A3" w14:textId="71474AFF" w:rsidR="57504E55" w:rsidRDefault="57504E55" w:rsidP="57504E55">
            <w:r w:rsidRPr="57504E55">
              <w:rPr>
                <w:rFonts w:ascii="Calibri" w:eastAsia="Calibri" w:hAnsi="Calibri" w:cs="Calibri"/>
                <w:color w:val="44474A"/>
                <w:sz w:val="22"/>
                <w:szCs w:val="22"/>
              </w:rPr>
              <w:t xml:space="preserve"> </w:t>
            </w:r>
          </w:p>
        </w:tc>
        <w:tc>
          <w:tcPr>
            <w:tcW w:w="1420"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14:paraId="34525DF4" w14:textId="12A03BF2" w:rsidR="57504E55" w:rsidRDefault="57504E55" w:rsidP="57504E55">
            <w:r w:rsidRPr="57504E55">
              <w:rPr>
                <w:rFonts w:ascii="Calibri" w:eastAsia="Calibri" w:hAnsi="Calibri" w:cs="Calibri"/>
                <w:color w:val="44474A"/>
                <w:sz w:val="22"/>
                <w:szCs w:val="22"/>
              </w:rPr>
              <w:t xml:space="preserve"> </w:t>
            </w:r>
          </w:p>
        </w:tc>
        <w:tc>
          <w:tcPr>
            <w:tcW w:w="1129"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14:paraId="197C0390" w14:textId="054C42B3" w:rsidR="57504E55" w:rsidRDefault="57504E55" w:rsidP="57504E55">
            <w:r w:rsidRPr="57504E55">
              <w:rPr>
                <w:rFonts w:ascii="Calibri" w:eastAsia="Calibri" w:hAnsi="Calibri" w:cs="Calibri"/>
                <w:color w:val="44474A"/>
                <w:sz w:val="22"/>
                <w:szCs w:val="22"/>
              </w:rPr>
              <w:t xml:space="preserve"> </w:t>
            </w:r>
          </w:p>
        </w:tc>
        <w:tc>
          <w:tcPr>
            <w:tcW w:w="1134"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14:paraId="2151A7DA" w14:textId="30EA97FB" w:rsidR="57504E55" w:rsidRDefault="57504E55" w:rsidP="57504E55">
            <w:r w:rsidRPr="57504E55">
              <w:rPr>
                <w:rFonts w:ascii="Calibri" w:eastAsia="Calibri" w:hAnsi="Calibri" w:cs="Calibri"/>
                <w:color w:val="44474A"/>
                <w:sz w:val="22"/>
                <w:szCs w:val="22"/>
              </w:rPr>
              <w:t xml:space="preserve"> </w:t>
            </w:r>
          </w:p>
        </w:tc>
        <w:tc>
          <w:tcPr>
            <w:tcW w:w="1323"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14:paraId="6734D0BA" w14:textId="3F7E1628" w:rsidR="57504E55" w:rsidRDefault="57504E55" w:rsidP="57504E55">
            <w:r w:rsidRPr="57504E55">
              <w:rPr>
                <w:rFonts w:ascii="Calibri" w:eastAsia="Calibri" w:hAnsi="Calibri" w:cs="Calibri"/>
                <w:color w:val="44474A"/>
                <w:sz w:val="22"/>
                <w:szCs w:val="22"/>
              </w:rPr>
              <w:t xml:space="preserve"> </w:t>
            </w:r>
          </w:p>
        </w:tc>
      </w:tr>
      <w:tr w:rsidR="57504E55" w14:paraId="50E82E3D" w14:textId="77777777" w:rsidTr="00932066">
        <w:trPr>
          <w:trHeight w:val="315"/>
        </w:trPr>
        <w:tc>
          <w:tcPr>
            <w:tcW w:w="1019"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14:paraId="372A7965" w14:textId="61EC912E" w:rsidR="57504E55" w:rsidRDefault="57504E55" w:rsidP="57504E55">
            <w:r w:rsidRPr="57504E55">
              <w:rPr>
                <w:rFonts w:ascii="Calibri" w:eastAsia="Calibri" w:hAnsi="Calibri" w:cs="Calibri"/>
                <w:color w:val="44474A"/>
                <w:sz w:val="22"/>
                <w:szCs w:val="22"/>
              </w:rPr>
              <w:t xml:space="preserve"> </w:t>
            </w:r>
          </w:p>
        </w:tc>
        <w:tc>
          <w:tcPr>
            <w:tcW w:w="1832"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14:paraId="25B87F0F" w14:textId="5BA01925" w:rsidR="57504E55" w:rsidRDefault="57504E55" w:rsidP="57504E55">
            <w:r w:rsidRPr="57504E55">
              <w:rPr>
                <w:rFonts w:ascii="Calibri" w:eastAsia="Calibri" w:hAnsi="Calibri" w:cs="Calibri"/>
                <w:color w:val="44474A"/>
                <w:sz w:val="22"/>
                <w:szCs w:val="22"/>
              </w:rPr>
              <w:t xml:space="preserve"> </w:t>
            </w:r>
          </w:p>
        </w:tc>
        <w:tc>
          <w:tcPr>
            <w:tcW w:w="1998"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14:paraId="0442E3D3" w14:textId="4B1677B8" w:rsidR="57504E55" w:rsidRDefault="57504E55" w:rsidP="57504E55">
            <w:r w:rsidRPr="57504E55">
              <w:rPr>
                <w:rFonts w:ascii="Calibri" w:eastAsia="Calibri" w:hAnsi="Calibri" w:cs="Calibri"/>
                <w:color w:val="44474A"/>
                <w:sz w:val="22"/>
                <w:szCs w:val="22"/>
              </w:rPr>
              <w:t xml:space="preserve"> </w:t>
            </w:r>
          </w:p>
        </w:tc>
        <w:tc>
          <w:tcPr>
            <w:tcW w:w="1420"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14:paraId="28CA317B" w14:textId="28CC044F" w:rsidR="57504E55" w:rsidRDefault="57504E55" w:rsidP="57504E55">
            <w:r w:rsidRPr="57504E55">
              <w:rPr>
                <w:rFonts w:ascii="Calibri" w:eastAsia="Calibri" w:hAnsi="Calibri" w:cs="Calibri"/>
                <w:color w:val="44474A"/>
                <w:sz w:val="22"/>
                <w:szCs w:val="22"/>
              </w:rPr>
              <w:t xml:space="preserve"> </w:t>
            </w:r>
          </w:p>
        </w:tc>
        <w:tc>
          <w:tcPr>
            <w:tcW w:w="1129"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14:paraId="03A5963A" w14:textId="3EB7D4D5" w:rsidR="57504E55" w:rsidRDefault="57504E55" w:rsidP="57504E55">
            <w:r w:rsidRPr="57504E55">
              <w:rPr>
                <w:rFonts w:ascii="Calibri" w:eastAsia="Calibri" w:hAnsi="Calibri" w:cs="Calibri"/>
                <w:color w:val="44474A"/>
                <w:sz w:val="22"/>
                <w:szCs w:val="22"/>
              </w:rPr>
              <w:t xml:space="preserve"> </w:t>
            </w:r>
          </w:p>
        </w:tc>
        <w:tc>
          <w:tcPr>
            <w:tcW w:w="1134"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14:paraId="3CE38DC8" w14:textId="5135C442" w:rsidR="57504E55" w:rsidRDefault="57504E55" w:rsidP="57504E55">
            <w:r w:rsidRPr="57504E55">
              <w:rPr>
                <w:rFonts w:ascii="Calibri" w:eastAsia="Calibri" w:hAnsi="Calibri" w:cs="Calibri"/>
                <w:color w:val="44474A"/>
                <w:sz w:val="22"/>
                <w:szCs w:val="22"/>
              </w:rPr>
              <w:t xml:space="preserve"> </w:t>
            </w:r>
          </w:p>
        </w:tc>
        <w:tc>
          <w:tcPr>
            <w:tcW w:w="1323"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14:paraId="1F8DBC78" w14:textId="44E9E994" w:rsidR="57504E55" w:rsidRDefault="57504E55" w:rsidP="57504E55">
            <w:r w:rsidRPr="57504E55">
              <w:rPr>
                <w:rFonts w:ascii="Calibri" w:eastAsia="Calibri" w:hAnsi="Calibri" w:cs="Calibri"/>
                <w:color w:val="44474A"/>
                <w:sz w:val="22"/>
                <w:szCs w:val="22"/>
              </w:rPr>
              <w:t xml:space="preserve"> </w:t>
            </w:r>
          </w:p>
        </w:tc>
      </w:tr>
      <w:tr w:rsidR="57504E55" w14:paraId="0A141F8D" w14:textId="77777777" w:rsidTr="00932066">
        <w:trPr>
          <w:trHeight w:val="315"/>
        </w:trPr>
        <w:tc>
          <w:tcPr>
            <w:tcW w:w="1019"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14:paraId="75C72AD2" w14:textId="7AEC97E1" w:rsidR="57504E55" w:rsidRDefault="57504E55" w:rsidP="57504E55">
            <w:r w:rsidRPr="57504E55">
              <w:rPr>
                <w:rFonts w:ascii="Calibri" w:eastAsia="Calibri" w:hAnsi="Calibri" w:cs="Calibri"/>
                <w:color w:val="44474A"/>
                <w:sz w:val="22"/>
                <w:szCs w:val="22"/>
              </w:rPr>
              <w:t xml:space="preserve"> </w:t>
            </w:r>
          </w:p>
        </w:tc>
        <w:tc>
          <w:tcPr>
            <w:tcW w:w="1832"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14:paraId="0692A6EE" w14:textId="7302EBBC" w:rsidR="57504E55" w:rsidRDefault="57504E55" w:rsidP="57504E55">
            <w:r w:rsidRPr="57504E55">
              <w:rPr>
                <w:rFonts w:ascii="Calibri" w:eastAsia="Calibri" w:hAnsi="Calibri" w:cs="Calibri"/>
                <w:color w:val="44474A"/>
                <w:sz w:val="22"/>
                <w:szCs w:val="22"/>
              </w:rPr>
              <w:t xml:space="preserve"> </w:t>
            </w:r>
          </w:p>
        </w:tc>
        <w:tc>
          <w:tcPr>
            <w:tcW w:w="1998"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14:paraId="1491B487" w14:textId="35C923B0" w:rsidR="57504E55" w:rsidRDefault="57504E55" w:rsidP="57504E55">
            <w:r w:rsidRPr="57504E55">
              <w:rPr>
                <w:rFonts w:ascii="Calibri" w:eastAsia="Calibri" w:hAnsi="Calibri" w:cs="Calibri"/>
                <w:color w:val="44474A"/>
                <w:sz w:val="22"/>
                <w:szCs w:val="22"/>
              </w:rPr>
              <w:t xml:space="preserve"> </w:t>
            </w:r>
          </w:p>
        </w:tc>
        <w:tc>
          <w:tcPr>
            <w:tcW w:w="1420"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14:paraId="55E4E139" w14:textId="36A48191" w:rsidR="57504E55" w:rsidRDefault="57504E55" w:rsidP="57504E55">
            <w:r w:rsidRPr="57504E55">
              <w:rPr>
                <w:rFonts w:ascii="Calibri" w:eastAsia="Calibri" w:hAnsi="Calibri" w:cs="Calibri"/>
                <w:color w:val="44474A"/>
                <w:sz w:val="22"/>
                <w:szCs w:val="22"/>
              </w:rPr>
              <w:t xml:space="preserve"> </w:t>
            </w:r>
          </w:p>
        </w:tc>
        <w:tc>
          <w:tcPr>
            <w:tcW w:w="1129"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14:paraId="41CE374F" w14:textId="190EED4A" w:rsidR="57504E55" w:rsidRDefault="57504E55" w:rsidP="57504E55">
            <w:r w:rsidRPr="57504E55">
              <w:rPr>
                <w:rFonts w:ascii="Calibri" w:eastAsia="Calibri" w:hAnsi="Calibri" w:cs="Calibri"/>
                <w:color w:val="44474A"/>
                <w:sz w:val="22"/>
                <w:szCs w:val="22"/>
              </w:rPr>
              <w:t xml:space="preserve"> </w:t>
            </w:r>
          </w:p>
        </w:tc>
        <w:tc>
          <w:tcPr>
            <w:tcW w:w="1134"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14:paraId="6CB7AFDF" w14:textId="7A536198" w:rsidR="57504E55" w:rsidRDefault="57504E55" w:rsidP="57504E55">
            <w:r w:rsidRPr="57504E55">
              <w:rPr>
                <w:rFonts w:ascii="Calibri" w:eastAsia="Calibri" w:hAnsi="Calibri" w:cs="Calibri"/>
                <w:color w:val="44474A"/>
                <w:sz w:val="22"/>
                <w:szCs w:val="22"/>
              </w:rPr>
              <w:t xml:space="preserve"> </w:t>
            </w:r>
          </w:p>
        </w:tc>
        <w:tc>
          <w:tcPr>
            <w:tcW w:w="1323"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14:paraId="01223940" w14:textId="27BE7845" w:rsidR="57504E55" w:rsidRDefault="57504E55" w:rsidP="57504E55">
            <w:r w:rsidRPr="57504E55">
              <w:rPr>
                <w:rFonts w:ascii="Calibri" w:eastAsia="Calibri" w:hAnsi="Calibri" w:cs="Calibri"/>
                <w:color w:val="44474A"/>
                <w:sz w:val="22"/>
                <w:szCs w:val="22"/>
              </w:rPr>
              <w:t xml:space="preserve"> </w:t>
            </w:r>
          </w:p>
        </w:tc>
      </w:tr>
      <w:tr w:rsidR="57504E55" w14:paraId="5590531F" w14:textId="77777777" w:rsidTr="00932066">
        <w:trPr>
          <w:trHeight w:val="315"/>
        </w:trPr>
        <w:tc>
          <w:tcPr>
            <w:tcW w:w="1019"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14:paraId="3E798CB6" w14:textId="11CE570E" w:rsidR="57504E55" w:rsidRDefault="57504E55" w:rsidP="57504E55">
            <w:r w:rsidRPr="57504E55">
              <w:rPr>
                <w:rFonts w:ascii="Calibri" w:eastAsia="Calibri" w:hAnsi="Calibri" w:cs="Calibri"/>
                <w:color w:val="44474A"/>
                <w:sz w:val="22"/>
                <w:szCs w:val="22"/>
              </w:rPr>
              <w:t xml:space="preserve"> </w:t>
            </w:r>
          </w:p>
        </w:tc>
        <w:tc>
          <w:tcPr>
            <w:tcW w:w="1832"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14:paraId="158C48B3" w14:textId="6789195C" w:rsidR="57504E55" w:rsidRDefault="57504E55" w:rsidP="57504E55">
            <w:r w:rsidRPr="57504E55">
              <w:rPr>
                <w:rFonts w:ascii="Calibri" w:eastAsia="Calibri" w:hAnsi="Calibri" w:cs="Calibri"/>
                <w:color w:val="44474A"/>
                <w:sz w:val="22"/>
                <w:szCs w:val="22"/>
              </w:rPr>
              <w:t xml:space="preserve"> </w:t>
            </w:r>
          </w:p>
        </w:tc>
        <w:tc>
          <w:tcPr>
            <w:tcW w:w="1998"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14:paraId="1F499BDC" w14:textId="6B0C2A24" w:rsidR="57504E55" w:rsidRDefault="57504E55" w:rsidP="57504E55">
            <w:r w:rsidRPr="57504E55">
              <w:rPr>
                <w:rFonts w:ascii="Calibri" w:eastAsia="Calibri" w:hAnsi="Calibri" w:cs="Calibri"/>
                <w:color w:val="44474A"/>
                <w:sz w:val="22"/>
                <w:szCs w:val="22"/>
              </w:rPr>
              <w:t xml:space="preserve"> </w:t>
            </w:r>
          </w:p>
        </w:tc>
        <w:tc>
          <w:tcPr>
            <w:tcW w:w="1420"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14:paraId="6208E17F" w14:textId="52294697" w:rsidR="57504E55" w:rsidRDefault="57504E55" w:rsidP="57504E55">
            <w:r w:rsidRPr="57504E55">
              <w:rPr>
                <w:rFonts w:ascii="Calibri" w:eastAsia="Calibri" w:hAnsi="Calibri" w:cs="Calibri"/>
                <w:color w:val="44474A"/>
                <w:sz w:val="22"/>
                <w:szCs w:val="22"/>
              </w:rPr>
              <w:t xml:space="preserve"> </w:t>
            </w:r>
          </w:p>
        </w:tc>
        <w:tc>
          <w:tcPr>
            <w:tcW w:w="1129"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14:paraId="6B172F80" w14:textId="72CD44FC" w:rsidR="57504E55" w:rsidRDefault="57504E55" w:rsidP="57504E55">
            <w:r w:rsidRPr="57504E55">
              <w:rPr>
                <w:rFonts w:ascii="Calibri" w:eastAsia="Calibri" w:hAnsi="Calibri" w:cs="Calibri"/>
                <w:color w:val="44474A"/>
                <w:sz w:val="22"/>
                <w:szCs w:val="22"/>
              </w:rPr>
              <w:t xml:space="preserve"> </w:t>
            </w:r>
          </w:p>
        </w:tc>
        <w:tc>
          <w:tcPr>
            <w:tcW w:w="1134"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14:paraId="0E5AFC4A" w14:textId="55DD7B31" w:rsidR="57504E55" w:rsidRDefault="57504E55" w:rsidP="57504E55">
            <w:r w:rsidRPr="57504E55">
              <w:rPr>
                <w:rFonts w:ascii="Calibri" w:eastAsia="Calibri" w:hAnsi="Calibri" w:cs="Calibri"/>
                <w:color w:val="44474A"/>
                <w:sz w:val="22"/>
                <w:szCs w:val="22"/>
              </w:rPr>
              <w:t xml:space="preserve"> </w:t>
            </w:r>
          </w:p>
        </w:tc>
        <w:tc>
          <w:tcPr>
            <w:tcW w:w="1323"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14:paraId="5CF96EC3" w14:textId="45CDA8D2" w:rsidR="57504E55" w:rsidRDefault="57504E55" w:rsidP="57504E55">
            <w:r w:rsidRPr="57504E55">
              <w:rPr>
                <w:rFonts w:ascii="Calibri" w:eastAsia="Calibri" w:hAnsi="Calibri" w:cs="Calibri"/>
                <w:color w:val="44474A"/>
                <w:sz w:val="22"/>
                <w:szCs w:val="22"/>
              </w:rPr>
              <w:t xml:space="preserve"> </w:t>
            </w:r>
          </w:p>
        </w:tc>
      </w:tr>
      <w:tr w:rsidR="57504E55" w14:paraId="0240BFBC" w14:textId="77777777" w:rsidTr="00932066">
        <w:trPr>
          <w:trHeight w:val="315"/>
        </w:trPr>
        <w:tc>
          <w:tcPr>
            <w:tcW w:w="1019"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14:paraId="5930DA7E" w14:textId="6A680795" w:rsidR="57504E55" w:rsidRDefault="57504E55" w:rsidP="57504E55">
            <w:r w:rsidRPr="57504E55">
              <w:rPr>
                <w:rFonts w:ascii="Calibri" w:eastAsia="Calibri" w:hAnsi="Calibri" w:cs="Calibri"/>
                <w:color w:val="44474A"/>
                <w:sz w:val="22"/>
                <w:szCs w:val="22"/>
              </w:rPr>
              <w:t xml:space="preserve"> </w:t>
            </w:r>
          </w:p>
        </w:tc>
        <w:tc>
          <w:tcPr>
            <w:tcW w:w="1832"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14:paraId="5CD6F8B8" w14:textId="5835D0D6" w:rsidR="57504E55" w:rsidRDefault="57504E55" w:rsidP="57504E55">
            <w:r w:rsidRPr="57504E55">
              <w:rPr>
                <w:rFonts w:ascii="Calibri" w:eastAsia="Calibri" w:hAnsi="Calibri" w:cs="Calibri"/>
                <w:color w:val="44474A"/>
                <w:sz w:val="22"/>
                <w:szCs w:val="22"/>
              </w:rPr>
              <w:t xml:space="preserve"> </w:t>
            </w:r>
          </w:p>
        </w:tc>
        <w:tc>
          <w:tcPr>
            <w:tcW w:w="1998"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14:paraId="30FCE3FF" w14:textId="7E369541" w:rsidR="57504E55" w:rsidRDefault="57504E55" w:rsidP="57504E55">
            <w:r w:rsidRPr="57504E55">
              <w:rPr>
                <w:rFonts w:ascii="Calibri" w:eastAsia="Calibri" w:hAnsi="Calibri" w:cs="Calibri"/>
                <w:color w:val="44474A"/>
                <w:sz w:val="22"/>
                <w:szCs w:val="22"/>
              </w:rPr>
              <w:t xml:space="preserve"> </w:t>
            </w:r>
          </w:p>
        </w:tc>
        <w:tc>
          <w:tcPr>
            <w:tcW w:w="1420"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14:paraId="4D4198B7" w14:textId="65064D3D" w:rsidR="57504E55" w:rsidRDefault="57504E55" w:rsidP="57504E55">
            <w:r w:rsidRPr="57504E55">
              <w:rPr>
                <w:rFonts w:ascii="Calibri" w:eastAsia="Calibri" w:hAnsi="Calibri" w:cs="Calibri"/>
                <w:color w:val="44474A"/>
                <w:sz w:val="22"/>
                <w:szCs w:val="22"/>
              </w:rPr>
              <w:t xml:space="preserve"> </w:t>
            </w:r>
          </w:p>
        </w:tc>
        <w:tc>
          <w:tcPr>
            <w:tcW w:w="1129"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14:paraId="16B8C9BE" w14:textId="101D6460" w:rsidR="57504E55" w:rsidRDefault="57504E55" w:rsidP="57504E55">
            <w:r w:rsidRPr="57504E55">
              <w:rPr>
                <w:rFonts w:ascii="Calibri" w:eastAsia="Calibri" w:hAnsi="Calibri" w:cs="Calibri"/>
                <w:color w:val="44474A"/>
                <w:sz w:val="22"/>
                <w:szCs w:val="22"/>
              </w:rPr>
              <w:t xml:space="preserve"> </w:t>
            </w:r>
          </w:p>
        </w:tc>
        <w:tc>
          <w:tcPr>
            <w:tcW w:w="1134"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14:paraId="1FF7A8EE" w14:textId="4B5773DD" w:rsidR="57504E55" w:rsidRDefault="57504E55" w:rsidP="57504E55">
            <w:r w:rsidRPr="57504E55">
              <w:rPr>
                <w:rFonts w:ascii="Calibri" w:eastAsia="Calibri" w:hAnsi="Calibri" w:cs="Calibri"/>
                <w:color w:val="44474A"/>
                <w:sz w:val="22"/>
                <w:szCs w:val="22"/>
              </w:rPr>
              <w:t xml:space="preserve"> </w:t>
            </w:r>
          </w:p>
        </w:tc>
        <w:tc>
          <w:tcPr>
            <w:tcW w:w="1323"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14:paraId="507A3BF2" w14:textId="534FE7FE" w:rsidR="57504E55" w:rsidRDefault="57504E55" w:rsidP="57504E55">
            <w:r w:rsidRPr="57504E55">
              <w:rPr>
                <w:rFonts w:ascii="Calibri" w:eastAsia="Calibri" w:hAnsi="Calibri" w:cs="Calibri"/>
                <w:color w:val="44474A"/>
                <w:sz w:val="22"/>
                <w:szCs w:val="22"/>
              </w:rPr>
              <w:t xml:space="preserve"> </w:t>
            </w:r>
          </w:p>
        </w:tc>
      </w:tr>
      <w:tr w:rsidR="57504E55" w14:paraId="285BF0FF" w14:textId="77777777" w:rsidTr="00932066">
        <w:trPr>
          <w:trHeight w:val="315"/>
        </w:trPr>
        <w:tc>
          <w:tcPr>
            <w:tcW w:w="1019"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14:paraId="25736001" w14:textId="6E540148" w:rsidR="57504E55" w:rsidRDefault="57504E55" w:rsidP="57504E55">
            <w:r w:rsidRPr="57504E55">
              <w:rPr>
                <w:rFonts w:ascii="Calibri" w:eastAsia="Calibri" w:hAnsi="Calibri" w:cs="Calibri"/>
                <w:color w:val="44474A"/>
                <w:sz w:val="22"/>
                <w:szCs w:val="22"/>
              </w:rPr>
              <w:t xml:space="preserve"> </w:t>
            </w:r>
          </w:p>
        </w:tc>
        <w:tc>
          <w:tcPr>
            <w:tcW w:w="1832"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14:paraId="6A9DD977" w14:textId="1DFA733E" w:rsidR="57504E55" w:rsidRDefault="57504E55" w:rsidP="57504E55">
            <w:r w:rsidRPr="57504E55">
              <w:rPr>
                <w:rFonts w:ascii="Calibri" w:eastAsia="Calibri" w:hAnsi="Calibri" w:cs="Calibri"/>
                <w:color w:val="44474A"/>
                <w:sz w:val="22"/>
                <w:szCs w:val="22"/>
              </w:rPr>
              <w:t xml:space="preserve"> </w:t>
            </w:r>
          </w:p>
        </w:tc>
        <w:tc>
          <w:tcPr>
            <w:tcW w:w="1998"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14:paraId="2CB9064E" w14:textId="65402613" w:rsidR="57504E55" w:rsidRDefault="57504E55" w:rsidP="57504E55">
            <w:r w:rsidRPr="57504E55">
              <w:rPr>
                <w:rFonts w:ascii="Calibri" w:eastAsia="Calibri" w:hAnsi="Calibri" w:cs="Calibri"/>
                <w:color w:val="44474A"/>
                <w:sz w:val="22"/>
                <w:szCs w:val="22"/>
              </w:rPr>
              <w:t xml:space="preserve"> </w:t>
            </w:r>
          </w:p>
        </w:tc>
        <w:tc>
          <w:tcPr>
            <w:tcW w:w="1420"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14:paraId="0BAAAD1E" w14:textId="27341A8D" w:rsidR="57504E55" w:rsidRDefault="57504E55" w:rsidP="57504E55">
            <w:r w:rsidRPr="57504E55">
              <w:rPr>
                <w:rFonts w:ascii="Calibri" w:eastAsia="Calibri" w:hAnsi="Calibri" w:cs="Calibri"/>
                <w:color w:val="44474A"/>
                <w:sz w:val="22"/>
                <w:szCs w:val="22"/>
              </w:rPr>
              <w:t xml:space="preserve"> </w:t>
            </w:r>
          </w:p>
        </w:tc>
        <w:tc>
          <w:tcPr>
            <w:tcW w:w="1129"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14:paraId="3F11440A" w14:textId="409F80E8" w:rsidR="57504E55" w:rsidRDefault="57504E55" w:rsidP="57504E55">
            <w:r w:rsidRPr="57504E55">
              <w:rPr>
                <w:rFonts w:ascii="Calibri" w:eastAsia="Calibri" w:hAnsi="Calibri" w:cs="Calibri"/>
                <w:color w:val="44474A"/>
                <w:sz w:val="22"/>
                <w:szCs w:val="22"/>
              </w:rPr>
              <w:t xml:space="preserve"> </w:t>
            </w:r>
          </w:p>
        </w:tc>
        <w:tc>
          <w:tcPr>
            <w:tcW w:w="1134"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14:paraId="042D3EAD" w14:textId="157B2DE0" w:rsidR="57504E55" w:rsidRDefault="57504E55" w:rsidP="57504E55">
            <w:r w:rsidRPr="57504E55">
              <w:rPr>
                <w:rFonts w:ascii="Calibri" w:eastAsia="Calibri" w:hAnsi="Calibri" w:cs="Calibri"/>
                <w:color w:val="44474A"/>
                <w:sz w:val="22"/>
                <w:szCs w:val="22"/>
              </w:rPr>
              <w:t xml:space="preserve"> </w:t>
            </w:r>
          </w:p>
        </w:tc>
        <w:tc>
          <w:tcPr>
            <w:tcW w:w="1323"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14:paraId="455D8398" w14:textId="01DF103B" w:rsidR="57504E55" w:rsidRDefault="57504E55" w:rsidP="57504E55">
            <w:r w:rsidRPr="57504E55">
              <w:rPr>
                <w:rFonts w:ascii="Calibri" w:eastAsia="Calibri" w:hAnsi="Calibri" w:cs="Calibri"/>
                <w:color w:val="44474A"/>
                <w:sz w:val="22"/>
                <w:szCs w:val="22"/>
              </w:rPr>
              <w:t xml:space="preserve"> </w:t>
            </w:r>
          </w:p>
        </w:tc>
      </w:tr>
      <w:tr w:rsidR="57504E55" w14:paraId="46903FD9" w14:textId="77777777" w:rsidTr="00932066">
        <w:trPr>
          <w:trHeight w:val="315"/>
        </w:trPr>
        <w:tc>
          <w:tcPr>
            <w:tcW w:w="1019"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14:paraId="51C70747" w14:textId="5309C767" w:rsidR="57504E55" w:rsidRDefault="57504E55" w:rsidP="57504E55">
            <w:r w:rsidRPr="57504E55">
              <w:rPr>
                <w:rFonts w:ascii="Calibri" w:eastAsia="Calibri" w:hAnsi="Calibri" w:cs="Calibri"/>
                <w:color w:val="44474A"/>
                <w:sz w:val="22"/>
                <w:szCs w:val="22"/>
              </w:rPr>
              <w:t xml:space="preserve"> </w:t>
            </w:r>
          </w:p>
        </w:tc>
        <w:tc>
          <w:tcPr>
            <w:tcW w:w="1832"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14:paraId="739F629E" w14:textId="4D627DB3" w:rsidR="57504E55" w:rsidRDefault="57504E55" w:rsidP="57504E55">
            <w:r w:rsidRPr="57504E55">
              <w:rPr>
                <w:rFonts w:ascii="Calibri" w:eastAsia="Calibri" w:hAnsi="Calibri" w:cs="Calibri"/>
                <w:color w:val="44474A"/>
                <w:sz w:val="22"/>
                <w:szCs w:val="22"/>
              </w:rPr>
              <w:t xml:space="preserve"> </w:t>
            </w:r>
          </w:p>
        </w:tc>
        <w:tc>
          <w:tcPr>
            <w:tcW w:w="1998"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14:paraId="2E65C0D9" w14:textId="368ECDF0" w:rsidR="57504E55" w:rsidRDefault="57504E55" w:rsidP="57504E55">
            <w:r w:rsidRPr="57504E55">
              <w:rPr>
                <w:rFonts w:ascii="Calibri" w:eastAsia="Calibri" w:hAnsi="Calibri" w:cs="Calibri"/>
                <w:color w:val="44474A"/>
                <w:sz w:val="22"/>
                <w:szCs w:val="22"/>
              </w:rPr>
              <w:t xml:space="preserve"> </w:t>
            </w:r>
          </w:p>
        </w:tc>
        <w:tc>
          <w:tcPr>
            <w:tcW w:w="1420"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14:paraId="02747200" w14:textId="3D444405" w:rsidR="57504E55" w:rsidRDefault="57504E55" w:rsidP="57504E55">
            <w:r w:rsidRPr="57504E55">
              <w:rPr>
                <w:rFonts w:ascii="Calibri" w:eastAsia="Calibri" w:hAnsi="Calibri" w:cs="Calibri"/>
                <w:color w:val="44474A"/>
                <w:sz w:val="22"/>
                <w:szCs w:val="22"/>
              </w:rPr>
              <w:t xml:space="preserve"> </w:t>
            </w:r>
          </w:p>
        </w:tc>
        <w:tc>
          <w:tcPr>
            <w:tcW w:w="1129"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14:paraId="1CF1DD3B" w14:textId="5FE358D2" w:rsidR="57504E55" w:rsidRDefault="57504E55" w:rsidP="57504E55">
            <w:r w:rsidRPr="57504E55">
              <w:rPr>
                <w:rFonts w:ascii="Calibri" w:eastAsia="Calibri" w:hAnsi="Calibri" w:cs="Calibri"/>
                <w:color w:val="44474A"/>
                <w:sz w:val="22"/>
                <w:szCs w:val="22"/>
              </w:rPr>
              <w:t xml:space="preserve"> </w:t>
            </w:r>
          </w:p>
        </w:tc>
        <w:tc>
          <w:tcPr>
            <w:tcW w:w="1134"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14:paraId="7C3D7ADD" w14:textId="4178722A" w:rsidR="57504E55" w:rsidRDefault="57504E55" w:rsidP="57504E55">
            <w:r w:rsidRPr="57504E55">
              <w:rPr>
                <w:rFonts w:ascii="Calibri" w:eastAsia="Calibri" w:hAnsi="Calibri" w:cs="Calibri"/>
                <w:color w:val="44474A"/>
                <w:sz w:val="22"/>
                <w:szCs w:val="22"/>
              </w:rPr>
              <w:t xml:space="preserve"> </w:t>
            </w:r>
          </w:p>
        </w:tc>
        <w:tc>
          <w:tcPr>
            <w:tcW w:w="1323"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14:paraId="190B457D" w14:textId="587BCCA5" w:rsidR="57504E55" w:rsidRDefault="57504E55" w:rsidP="57504E55">
            <w:r w:rsidRPr="57504E55">
              <w:rPr>
                <w:rFonts w:ascii="Calibri" w:eastAsia="Calibri" w:hAnsi="Calibri" w:cs="Calibri"/>
                <w:color w:val="44474A"/>
                <w:sz w:val="22"/>
                <w:szCs w:val="22"/>
              </w:rPr>
              <w:t xml:space="preserve"> </w:t>
            </w:r>
          </w:p>
        </w:tc>
      </w:tr>
      <w:tr w:rsidR="57504E55" w14:paraId="65259918" w14:textId="77777777" w:rsidTr="00932066">
        <w:trPr>
          <w:trHeight w:val="315"/>
        </w:trPr>
        <w:tc>
          <w:tcPr>
            <w:tcW w:w="1019"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14:paraId="1ADC8D7B" w14:textId="4DEF3943" w:rsidR="57504E55" w:rsidRDefault="57504E55" w:rsidP="57504E55">
            <w:r w:rsidRPr="57504E55">
              <w:rPr>
                <w:rFonts w:ascii="Calibri" w:eastAsia="Calibri" w:hAnsi="Calibri" w:cs="Calibri"/>
                <w:color w:val="44474A"/>
                <w:sz w:val="22"/>
                <w:szCs w:val="22"/>
              </w:rPr>
              <w:t xml:space="preserve"> </w:t>
            </w:r>
          </w:p>
        </w:tc>
        <w:tc>
          <w:tcPr>
            <w:tcW w:w="1832"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14:paraId="61F4051B" w14:textId="77754A3D" w:rsidR="57504E55" w:rsidRDefault="57504E55" w:rsidP="57504E55">
            <w:r w:rsidRPr="57504E55">
              <w:rPr>
                <w:rFonts w:ascii="Calibri" w:eastAsia="Calibri" w:hAnsi="Calibri" w:cs="Calibri"/>
                <w:color w:val="44474A"/>
                <w:sz w:val="22"/>
                <w:szCs w:val="22"/>
              </w:rPr>
              <w:t xml:space="preserve"> </w:t>
            </w:r>
          </w:p>
        </w:tc>
        <w:tc>
          <w:tcPr>
            <w:tcW w:w="1998"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14:paraId="5B02E855" w14:textId="1822E5DF" w:rsidR="57504E55" w:rsidRDefault="57504E55" w:rsidP="57504E55">
            <w:r w:rsidRPr="57504E55">
              <w:rPr>
                <w:rFonts w:ascii="Calibri" w:eastAsia="Calibri" w:hAnsi="Calibri" w:cs="Calibri"/>
                <w:color w:val="44474A"/>
                <w:sz w:val="22"/>
                <w:szCs w:val="22"/>
              </w:rPr>
              <w:t xml:space="preserve"> </w:t>
            </w:r>
          </w:p>
        </w:tc>
        <w:tc>
          <w:tcPr>
            <w:tcW w:w="1420"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14:paraId="4467A9E6" w14:textId="0B3DBE3E" w:rsidR="57504E55" w:rsidRDefault="57504E55" w:rsidP="57504E55">
            <w:r w:rsidRPr="57504E55">
              <w:rPr>
                <w:rFonts w:ascii="Calibri" w:eastAsia="Calibri" w:hAnsi="Calibri" w:cs="Calibri"/>
                <w:color w:val="44474A"/>
                <w:sz w:val="22"/>
                <w:szCs w:val="22"/>
              </w:rPr>
              <w:t xml:space="preserve"> </w:t>
            </w:r>
          </w:p>
        </w:tc>
        <w:tc>
          <w:tcPr>
            <w:tcW w:w="1129"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14:paraId="0322BDD4" w14:textId="2CC942B4" w:rsidR="57504E55" w:rsidRDefault="57504E55" w:rsidP="57504E55">
            <w:r w:rsidRPr="57504E55">
              <w:rPr>
                <w:rFonts w:ascii="Calibri" w:eastAsia="Calibri" w:hAnsi="Calibri" w:cs="Calibri"/>
                <w:color w:val="44474A"/>
                <w:sz w:val="22"/>
                <w:szCs w:val="22"/>
              </w:rPr>
              <w:t xml:space="preserve"> </w:t>
            </w:r>
          </w:p>
        </w:tc>
        <w:tc>
          <w:tcPr>
            <w:tcW w:w="1134"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14:paraId="49924429" w14:textId="62B63340" w:rsidR="57504E55" w:rsidRDefault="57504E55" w:rsidP="57504E55">
            <w:r w:rsidRPr="57504E55">
              <w:rPr>
                <w:rFonts w:ascii="Calibri" w:eastAsia="Calibri" w:hAnsi="Calibri" w:cs="Calibri"/>
                <w:color w:val="44474A"/>
                <w:sz w:val="22"/>
                <w:szCs w:val="22"/>
              </w:rPr>
              <w:t xml:space="preserve"> </w:t>
            </w:r>
          </w:p>
        </w:tc>
        <w:tc>
          <w:tcPr>
            <w:tcW w:w="1323"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14:paraId="4C5571C6" w14:textId="2B104B7E" w:rsidR="57504E55" w:rsidRDefault="57504E55" w:rsidP="57504E55">
            <w:r w:rsidRPr="57504E55">
              <w:rPr>
                <w:rFonts w:ascii="Calibri" w:eastAsia="Calibri" w:hAnsi="Calibri" w:cs="Calibri"/>
                <w:color w:val="44474A"/>
                <w:sz w:val="22"/>
                <w:szCs w:val="22"/>
              </w:rPr>
              <w:t xml:space="preserve"> </w:t>
            </w:r>
          </w:p>
        </w:tc>
      </w:tr>
      <w:tr w:rsidR="57504E55" w14:paraId="70A263A6" w14:textId="77777777" w:rsidTr="00932066">
        <w:trPr>
          <w:trHeight w:val="315"/>
        </w:trPr>
        <w:tc>
          <w:tcPr>
            <w:tcW w:w="1019"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14:paraId="4C75A5A1" w14:textId="13C83914" w:rsidR="57504E55" w:rsidRDefault="57504E55" w:rsidP="57504E55">
            <w:r w:rsidRPr="57504E55">
              <w:rPr>
                <w:rFonts w:ascii="Calibri" w:eastAsia="Calibri" w:hAnsi="Calibri" w:cs="Calibri"/>
                <w:color w:val="44474A"/>
                <w:sz w:val="22"/>
                <w:szCs w:val="22"/>
              </w:rPr>
              <w:t xml:space="preserve"> </w:t>
            </w:r>
          </w:p>
        </w:tc>
        <w:tc>
          <w:tcPr>
            <w:tcW w:w="1832"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14:paraId="47E7F7EB" w14:textId="4A6A6B24" w:rsidR="57504E55" w:rsidRDefault="57504E55" w:rsidP="57504E55">
            <w:r w:rsidRPr="57504E55">
              <w:rPr>
                <w:rFonts w:ascii="Calibri" w:eastAsia="Calibri" w:hAnsi="Calibri" w:cs="Calibri"/>
                <w:color w:val="44474A"/>
                <w:sz w:val="22"/>
                <w:szCs w:val="22"/>
              </w:rPr>
              <w:t xml:space="preserve"> </w:t>
            </w:r>
          </w:p>
        </w:tc>
        <w:tc>
          <w:tcPr>
            <w:tcW w:w="1998"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14:paraId="234EAE03" w14:textId="663FF2A4" w:rsidR="57504E55" w:rsidRDefault="57504E55" w:rsidP="57504E55">
            <w:r w:rsidRPr="57504E55">
              <w:rPr>
                <w:rFonts w:ascii="Calibri" w:eastAsia="Calibri" w:hAnsi="Calibri" w:cs="Calibri"/>
                <w:color w:val="44474A"/>
                <w:sz w:val="22"/>
                <w:szCs w:val="22"/>
              </w:rPr>
              <w:t xml:space="preserve"> </w:t>
            </w:r>
          </w:p>
        </w:tc>
        <w:tc>
          <w:tcPr>
            <w:tcW w:w="1420"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14:paraId="02BFEDF6" w14:textId="6DE21F69" w:rsidR="57504E55" w:rsidRDefault="57504E55" w:rsidP="57504E55">
            <w:r w:rsidRPr="57504E55">
              <w:rPr>
                <w:rFonts w:ascii="Calibri" w:eastAsia="Calibri" w:hAnsi="Calibri" w:cs="Calibri"/>
                <w:color w:val="44474A"/>
                <w:sz w:val="22"/>
                <w:szCs w:val="22"/>
              </w:rPr>
              <w:t xml:space="preserve"> </w:t>
            </w:r>
          </w:p>
        </w:tc>
        <w:tc>
          <w:tcPr>
            <w:tcW w:w="1129"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14:paraId="4919C49E" w14:textId="20FB5720" w:rsidR="57504E55" w:rsidRDefault="57504E55" w:rsidP="57504E55">
            <w:r w:rsidRPr="57504E55">
              <w:rPr>
                <w:rFonts w:ascii="Calibri" w:eastAsia="Calibri" w:hAnsi="Calibri" w:cs="Calibri"/>
                <w:color w:val="44474A"/>
                <w:sz w:val="22"/>
                <w:szCs w:val="22"/>
              </w:rPr>
              <w:t xml:space="preserve"> </w:t>
            </w:r>
          </w:p>
        </w:tc>
        <w:tc>
          <w:tcPr>
            <w:tcW w:w="1134"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14:paraId="0EF4E5E6" w14:textId="56FF519D" w:rsidR="57504E55" w:rsidRDefault="57504E55" w:rsidP="57504E55">
            <w:r w:rsidRPr="57504E55">
              <w:rPr>
                <w:rFonts w:ascii="Calibri" w:eastAsia="Calibri" w:hAnsi="Calibri" w:cs="Calibri"/>
                <w:color w:val="44474A"/>
                <w:sz w:val="22"/>
                <w:szCs w:val="22"/>
              </w:rPr>
              <w:t xml:space="preserve"> </w:t>
            </w:r>
          </w:p>
        </w:tc>
        <w:tc>
          <w:tcPr>
            <w:tcW w:w="1323"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14:paraId="484BEB59" w14:textId="1E4DC4D0" w:rsidR="57504E55" w:rsidRDefault="57504E55" w:rsidP="57504E55">
            <w:r w:rsidRPr="57504E55">
              <w:rPr>
                <w:rFonts w:ascii="Calibri" w:eastAsia="Calibri" w:hAnsi="Calibri" w:cs="Calibri"/>
                <w:color w:val="44474A"/>
                <w:sz w:val="22"/>
                <w:szCs w:val="22"/>
              </w:rPr>
              <w:t xml:space="preserve"> </w:t>
            </w:r>
          </w:p>
        </w:tc>
      </w:tr>
      <w:tr w:rsidR="57504E55" w14:paraId="2BF5F27D" w14:textId="77777777" w:rsidTr="00932066">
        <w:trPr>
          <w:trHeight w:val="315"/>
        </w:trPr>
        <w:tc>
          <w:tcPr>
            <w:tcW w:w="1019"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14:paraId="2BB67543" w14:textId="501F8FB4" w:rsidR="57504E55" w:rsidRDefault="57504E55" w:rsidP="57504E55">
            <w:r w:rsidRPr="57504E55">
              <w:rPr>
                <w:rFonts w:ascii="Calibri" w:eastAsia="Calibri" w:hAnsi="Calibri" w:cs="Calibri"/>
                <w:color w:val="44474A"/>
                <w:sz w:val="22"/>
                <w:szCs w:val="22"/>
              </w:rPr>
              <w:t xml:space="preserve"> </w:t>
            </w:r>
          </w:p>
        </w:tc>
        <w:tc>
          <w:tcPr>
            <w:tcW w:w="1832"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14:paraId="4015711F" w14:textId="6900398B" w:rsidR="57504E55" w:rsidRDefault="57504E55" w:rsidP="57504E55">
            <w:r w:rsidRPr="57504E55">
              <w:rPr>
                <w:rFonts w:ascii="Calibri" w:eastAsia="Calibri" w:hAnsi="Calibri" w:cs="Calibri"/>
                <w:color w:val="44474A"/>
                <w:sz w:val="22"/>
                <w:szCs w:val="22"/>
              </w:rPr>
              <w:t xml:space="preserve"> </w:t>
            </w:r>
          </w:p>
        </w:tc>
        <w:tc>
          <w:tcPr>
            <w:tcW w:w="1998"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14:paraId="01564E23" w14:textId="0E7E4BCC" w:rsidR="57504E55" w:rsidRDefault="57504E55" w:rsidP="57504E55">
            <w:r w:rsidRPr="57504E55">
              <w:rPr>
                <w:rFonts w:ascii="Calibri" w:eastAsia="Calibri" w:hAnsi="Calibri" w:cs="Calibri"/>
                <w:color w:val="44474A"/>
                <w:sz w:val="22"/>
                <w:szCs w:val="22"/>
              </w:rPr>
              <w:t xml:space="preserve"> </w:t>
            </w:r>
          </w:p>
        </w:tc>
        <w:tc>
          <w:tcPr>
            <w:tcW w:w="1420"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14:paraId="7F0C83F8" w14:textId="5E0213B8" w:rsidR="57504E55" w:rsidRDefault="57504E55" w:rsidP="57504E55">
            <w:r w:rsidRPr="57504E55">
              <w:rPr>
                <w:rFonts w:ascii="Calibri" w:eastAsia="Calibri" w:hAnsi="Calibri" w:cs="Calibri"/>
                <w:color w:val="44474A"/>
                <w:sz w:val="22"/>
                <w:szCs w:val="22"/>
              </w:rPr>
              <w:t xml:space="preserve"> </w:t>
            </w:r>
          </w:p>
        </w:tc>
        <w:tc>
          <w:tcPr>
            <w:tcW w:w="1129"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14:paraId="479D1FCD" w14:textId="45D3DDD5" w:rsidR="57504E55" w:rsidRDefault="57504E55" w:rsidP="57504E55">
            <w:r w:rsidRPr="57504E55">
              <w:rPr>
                <w:rFonts w:ascii="Calibri" w:eastAsia="Calibri" w:hAnsi="Calibri" w:cs="Calibri"/>
                <w:color w:val="44474A"/>
                <w:sz w:val="22"/>
                <w:szCs w:val="22"/>
              </w:rPr>
              <w:t xml:space="preserve"> </w:t>
            </w:r>
          </w:p>
        </w:tc>
        <w:tc>
          <w:tcPr>
            <w:tcW w:w="1134"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14:paraId="2570115C" w14:textId="797EE52A" w:rsidR="57504E55" w:rsidRDefault="57504E55" w:rsidP="57504E55">
            <w:r w:rsidRPr="57504E55">
              <w:rPr>
                <w:rFonts w:ascii="Calibri" w:eastAsia="Calibri" w:hAnsi="Calibri" w:cs="Calibri"/>
                <w:color w:val="44474A"/>
                <w:sz w:val="22"/>
                <w:szCs w:val="22"/>
              </w:rPr>
              <w:t xml:space="preserve"> </w:t>
            </w:r>
          </w:p>
        </w:tc>
        <w:tc>
          <w:tcPr>
            <w:tcW w:w="1323"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14:paraId="2C777922" w14:textId="68F330BB" w:rsidR="57504E55" w:rsidRDefault="57504E55" w:rsidP="57504E55">
            <w:r w:rsidRPr="57504E55">
              <w:rPr>
                <w:rFonts w:ascii="Calibri" w:eastAsia="Calibri" w:hAnsi="Calibri" w:cs="Calibri"/>
                <w:color w:val="44474A"/>
                <w:sz w:val="22"/>
                <w:szCs w:val="22"/>
              </w:rPr>
              <w:t xml:space="preserve"> </w:t>
            </w:r>
          </w:p>
        </w:tc>
      </w:tr>
      <w:tr w:rsidR="57504E55" w14:paraId="182EC8F3" w14:textId="77777777" w:rsidTr="00932066">
        <w:trPr>
          <w:trHeight w:val="315"/>
        </w:trPr>
        <w:tc>
          <w:tcPr>
            <w:tcW w:w="1019"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14:paraId="6157E1BA" w14:textId="3272C07C" w:rsidR="57504E55" w:rsidRDefault="57504E55" w:rsidP="57504E55">
            <w:r w:rsidRPr="57504E55">
              <w:rPr>
                <w:rFonts w:ascii="Calibri" w:eastAsia="Calibri" w:hAnsi="Calibri" w:cs="Calibri"/>
                <w:color w:val="44474A"/>
                <w:sz w:val="22"/>
                <w:szCs w:val="22"/>
              </w:rPr>
              <w:t xml:space="preserve"> </w:t>
            </w:r>
          </w:p>
        </w:tc>
        <w:tc>
          <w:tcPr>
            <w:tcW w:w="1832"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14:paraId="72F54CF0" w14:textId="46E46AF8" w:rsidR="57504E55" w:rsidRDefault="57504E55" w:rsidP="57504E55">
            <w:r w:rsidRPr="57504E55">
              <w:rPr>
                <w:rFonts w:ascii="Calibri" w:eastAsia="Calibri" w:hAnsi="Calibri" w:cs="Calibri"/>
                <w:color w:val="44474A"/>
                <w:sz w:val="22"/>
                <w:szCs w:val="22"/>
              </w:rPr>
              <w:t xml:space="preserve"> </w:t>
            </w:r>
          </w:p>
        </w:tc>
        <w:tc>
          <w:tcPr>
            <w:tcW w:w="1998"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14:paraId="30A9A845" w14:textId="437B6B92" w:rsidR="57504E55" w:rsidRDefault="57504E55" w:rsidP="57504E55">
            <w:r w:rsidRPr="57504E55">
              <w:rPr>
                <w:rFonts w:ascii="Calibri" w:eastAsia="Calibri" w:hAnsi="Calibri" w:cs="Calibri"/>
                <w:color w:val="44474A"/>
                <w:sz w:val="22"/>
                <w:szCs w:val="22"/>
              </w:rPr>
              <w:t xml:space="preserve"> </w:t>
            </w:r>
          </w:p>
        </w:tc>
        <w:tc>
          <w:tcPr>
            <w:tcW w:w="1420"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14:paraId="3B284D1A" w14:textId="463DFAC4" w:rsidR="57504E55" w:rsidRDefault="57504E55" w:rsidP="57504E55">
            <w:r w:rsidRPr="57504E55">
              <w:rPr>
                <w:rFonts w:ascii="Calibri" w:eastAsia="Calibri" w:hAnsi="Calibri" w:cs="Calibri"/>
                <w:color w:val="44474A"/>
                <w:sz w:val="22"/>
                <w:szCs w:val="22"/>
              </w:rPr>
              <w:t xml:space="preserve"> </w:t>
            </w:r>
          </w:p>
        </w:tc>
        <w:tc>
          <w:tcPr>
            <w:tcW w:w="1129"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14:paraId="037F43C4" w14:textId="19707E57" w:rsidR="57504E55" w:rsidRDefault="57504E55" w:rsidP="57504E55">
            <w:r w:rsidRPr="57504E55">
              <w:rPr>
                <w:rFonts w:ascii="Calibri" w:eastAsia="Calibri" w:hAnsi="Calibri" w:cs="Calibri"/>
                <w:color w:val="44474A"/>
                <w:sz w:val="22"/>
                <w:szCs w:val="22"/>
              </w:rPr>
              <w:t xml:space="preserve"> </w:t>
            </w:r>
          </w:p>
        </w:tc>
        <w:tc>
          <w:tcPr>
            <w:tcW w:w="1134"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14:paraId="00204DEE" w14:textId="7CEE7F5D" w:rsidR="57504E55" w:rsidRDefault="57504E55" w:rsidP="57504E55">
            <w:r w:rsidRPr="57504E55">
              <w:rPr>
                <w:rFonts w:ascii="Calibri" w:eastAsia="Calibri" w:hAnsi="Calibri" w:cs="Calibri"/>
                <w:color w:val="44474A"/>
                <w:sz w:val="22"/>
                <w:szCs w:val="22"/>
              </w:rPr>
              <w:t xml:space="preserve"> </w:t>
            </w:r>
          </w:p>
        </w:tc>
        <w:tc>
          <w:tcPr>
            <w:tcW w:w="1323"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14:paraId="654D4867" w14:textId="7B897463" w:rsidR="57504E55" w:rsidRDefault="57504E55" w:rsidP="57504E55">
            <w:r w:rsidRPr="57504E55">
              <w:rPr>
                <w:rFonts w:ascii="Calibri" w:eastAsia="Calibri" w:hAnsi="Calibri" w:cs="Calibri"/>
                <w:color w:val="44474A"/>
                <w:sz w:val="22"/>
                <w:szCs w:val="22"/>
              </w:rPr>
              <w:t xml:space="preserve"> </w:t>
            </w:r>
          </w:p>
        </w:tc>
      </w:tr>
      <w:tr w:rsidR="57504E55" w14:paraId="30BAE16D" w14:textId="77777777" w:rsidTr="00932066">
        <w:trPr>
          <w:trHeight w:val="315"/>
        </w:trPr>
        <w:tc>
          <w:tcPr>
            <w:tcW w:w="1019"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14:paraId="0A09ABE9" w14:textId="3B78CC4F" w:rsidR="57504E55" w:rsidRDefault="57504E55" w:rsidP="57504E55">
            <w:r w:rsidRPr="57504E55">
              <w:rPr>
                <w:rFonts w:ascii="Calibri" w:eastAsia="Calibri" w:hAnsi="Calibri" w:cs="Calibri"/>
                <w:color w:val="44474A"/>
                <w:sz w:val="22"/>
                <w:szCs w:val="22"/>
              </w:rPr>
              <w:t xml:space="preserve"> </w:t>
            </w:r>
          </w:p>
        </w:tc>
        <w:tc>
          <w:tcPr>
            <w:tcW w:w="1832"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14:paraId="043864B8" w14:textId="4CB1989B" w:rsidR="57504E55" w:rsidRDefault="57504E55" w:rsidP="57504E55">
            <w:r w:rsidRPr="57504E55">
              <w:rPr>
                <w:rFonts w:ascii="Calibri" w:eastAsia="Calibri" w:hAnsi="Calibri" w:cs="Calibri"/>
                <w:color w:val="44474A"/>
                <w:sz w:val="22"/>
                <w:szCs w:val="22"/>
              </w:rPr>
              <w:t xml:space="preserve"> </w:t>
            </w:r>
          </w:p>
        </w:tc>
        <w:tc>
          <w:tcPr>
            <w:tcW w:w="1998"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14:paraId="08A5F37D" w14:textId="26DC8638" w:rsidR="57504E55" w:rsidRDefault="57504E55" w:rsidP="57504E55">
            <w:r w:rsidRPr="57504E55">
              <w:rPr>
                <w:rFonts w:ascii="Calibri" w:eastAsia="Calibri" w:hAnsi="Calibri" w:cs="Calibri"/>
                <w:color w:val="44474A"/>
                <w:sz w:val="22"/>
                <w:szCs w:val="22"/>
              </w:rPr>
              <w:t xml:space="preserve"> </w:t>
            </w:r>
          </w:p>
        </w:tc>
        <w:tc>
          <w:tcPr>
            <w:tcW w:w="1420"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14:paraId="0ACCB7D6" w14:textId="3F34C630" w:rsidR="57504E55" w:rsidRDefault="57504E55" w:rsidP="57504E55">
            <w:r w:rsidRPr="57504E55">
              <w:rPr>
                <w:rFonts w:ascii="Calibri" w:eastAsia="Calibri" w:hAnsi="Calibri" w:cs="Calibri"/>
                <w:color w:val="44474A"/>
                <w:sz w:val="22"/>
                <w:szCs w:val="22"/>
              </w:rPr>
              <w:t xml:space="preserve"> </w:t>
            </w:r>
          </w:p>
        </w:tc>
        <w:tc>
          <w:tcPr>
            <w:tcW w:w="1129"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14:paraId="0AA72E63" w14:textId="4074833F" w:rsidR="57504E55" w:rsidRDefault="57504E55" w:rsidP="57504E55">
            <w:r w:rsidRPr="57504E55">
              <w:rPr>
                <w:rFonts w:ascii="Calibri" w:eastAsia="Calibri" w:hAnsi="Calibri" w:cs="Calibri"/>
                <w:color w:val="44474A"/>
                <w:sz w:val="22"/>
                <w:szCs w:val="22"/>
              </w:rPr>
              <w:t xml:space="preserve"> </w:t>
            </w:r>
          </w:p>
        </w:tc>
        <w:tc>
          <w:tcPr>
            <w:tcW w:w="1134"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14:paraId="43A358E9" w14:textId="1A86D02D" w:rsidR="57504E55" w:rsidRDefault="57504E55" w:rsidP="57504E55">
            <w:r w:rsidRPr="57504E55">
              <w:rPr>
                <w:rFonts w:ascii="Calibri" w:eastAsia="Calibri" w:hAnsi="Calibri" w:cs="Calibri"/>
                <w:color w:val="44474A"/>
                <w:sz w:val="22"/>
                <w:szCs w:val="22"/>
              </w:rPr>
              <w:t xml:space="preserve"> </w:t>
            </w:r>
          </w:p>
        </w:tc>
        <w:tc>
          <w:tcPr>
            <w:tcW w:w="1323"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14:paraId="61050E2D" w14:textId="38EB069E" w:rsidR="57504E55" w:rsidRDefault="57504E55" w:rsidP="57504E55">
            <w:pPr>
              <w:rPr>
                <w:rFonts w:ascii="Calibri" w:eastAsia="Calibri" w:hAnsi="Calibri" w:cs="Calibri"/>
                <w:color w:val="44474A"/>
                <w:sz w:val="22"/>
                <w:szCs w:val="22"/>
              </w:rPr>
            </w:pPr>
          </w:p>
        </w:tc>
      </w:tr>
    </w:tbl>
    <w:p w14:paraId="556C930B" w14:textId="5DB0DE9D" w:rsidR="57504E55" w:rsidRDefault="57504E55" w:rsidP="57504E55">
      <w:pPr>
        <w:pStyle w:val="EPMHyperlinks"/>
      </w:pPr>
    </w:p>
    <w:sectPr w:rsidR="57504E55" w:rsidSect="000709C6">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84E71F" w14:textId="77777777" w:rsidR="000709C6" w:rsidRDefault="000709C6" w:rsidP="002C1565">
      <w:r>
        <w:separator/>
      </w:r>
    </w:p>
  </w:endnote>
  <w:endnote w:type="continuationSeparator" w:id="0">
    <w:p w14:paraId="02630892" w14:textId="77777777" w:rsidR="000709C6" w:rsidRDefault="000709C6" w:rsidP="002C1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rta PE">
    <w:panose1 w:val="00000000000000000000"/>
    <w:charset w:val="00"/>
    <w:family w:val="modern"/>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Franklin Gothic Medium">
    <w:panose1 w:val="020B06030201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13227A" w14:textId="078C36EF" w:rsidR="00F17EA3" w:rsidRPr="003E3987" w:rsidRDefault="00F17EA3"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cs="Arial"/>
        <w:sz w:val="16"/>
        <w:szCs w:val="16"/>
      </w:rPr>
      <w:id w:val="402569588"/>
      <w:docPartObj>
        <w:docPartGallery w:val="Page Numbers (Bottom of Page)"/>
        <w:docPartUnique/>
      </w:docPartObj>
    </w:sdtPr>
    <w:sdtEndPr>
      <w:rPr>
        <w:rStyle w:val="PageNumber"/>
      </w:rPr>
    </w:sdtEndPr>
    <w:sdtContent>
      <w:p w14:paraId="397477A7" w14:textId="77777777" w:rsidR="000A69A2" w:rsidRPr="0099024B" w:rsidRDefault="000A69A2" w:rsidP="000A69A2">
        <w:pPr>
          <w:framePr w:w="202" w:h="240" w:hRule="exact" w:wrap="none" w:vAnchor="text" w:hAnchor="page" w:x="1006" w:yAlign="top"/>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Pr="0099024B">
          <w:rPr>
            <w:rStyle w:val="PageNumber"/>
            <w:rFonts w:cs="Arial"/>
            <w:sz w:val="16"/>
            <w:szCs w:val="16"/>
          </w:rPr>
          <w:t>2</w:t>
        </w:r>
        <w:r w:rsidRPr="0099024B">
          <w:rPr>
            <w:rStyle w:val="PageNumber"/>
            <w:rFonts w:cs="Arial"/>
            <w:sz w:val="16"/>
            <w:szCs w:val="16"/>
          </w:rPr>
          <w:fldChar w:fldCharType="end"/>
        </w:r>
      </w:p>
    </w:sdtContent>
  </w:sdt>
  <w:p w14:paraId="31FBE778" w14:textId="22D4ACCD" w:rsidR="00F13DD1" w:rsidRPr="000A69A2" w:rsidRDefault="000A69A2" w:rsidP="000A69A2">
    <w:pPr>
      <w:tabs>
        <w:tab w:val="left" w:pos="198"/>
        <w:tab w:val="right" w:pos="9639"/>
      </w:tabs>
      <w:snapToGrid w:val="0"/>
      <w:ind w:firstLine="360"/>
      <w:rPr>
        <w:rFonts w:ascii="Calibri" w:hAnsi="Calibri" w:cs="Calibri"/>
        <w:color w:val="808080" w:themeColor="background1" w:themeShade="80"/>
        <w:sz w:val="16"/>
        <w:szCs w:val="16"/>
      </w:rPr>
    </w:pPr>
    <w:r w:rsidRPr="00F17EA3">
      <w:rPr>
        <w:rFonts w:ascii="Calibri" w:hAnsi="Calibri" w:cs="Calibri"/>
        <w:color w:val="242E55"/>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02EA5B" w14:textId="77777777" w:rsidR="000709C6" w:rsidRDefault="000709C6" w:rsidP="002C1565">
      <w:r>
        <w:separator/>
      </w:r>
    </w:p>
  </w:footnote>
  <w:footnote w:type="continuationSeparator" w:id="0">
    <w:p w14:paraId="4EAA0D1A" w14:textId="77777777" w:rsidR="000709C6" w:rsidRDefault="000709C6" w:rsidP="002C15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A2248" w14:textId="6AE2C393" w:rsidR="00F13DD1" w:rsidRPr="00274850" w:rsidRDefault="00F13DD1" w:rsidP="002748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949BC"/>
    <w:multiLevelType w:val="multilevel"/>
    <w:tmpl w:val="2F066B8C"/>
    <w:lvl w:ilvl="0">
      <w:start w:val="1"/>
      <w:numFmt w:val="decimal"/>
      <w:pStyle w:val="EPMNumberedHeading"/>
      <w:lvlText w:val="%1."/>
      <w:lvlJc w:val="left"/>
      <w:pPr>
        <w:ind w:left="360" w:hanging="360"/>
      </w:pPr>
    </w:lvl>
    <w:lvl w:ilvl="1">
      <w:start w:val="1"/>
      <w:numFmt w:val="decimal"/>
      <w:pStyle w:val="EPMNumberedSubheading"/>
      <w:lvlText w:val="%1.%2."/>
      <w:lvlJc w:val="left"/>
      <w:pPr>
        <w:ind w:left="792" w:hanging="432"/>
      </w:pPr>
    </w:lvl>
    <w:lvl w:ilvl="2">
      <w:start w:val="1"/>
      <w:numFmt w:val="decimal"/>
      <w:pStyle w:val="EPM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04AC7EA2"/>
    <w:lvl w:ilvl="0" w:tplc="8B5A8004">
      <w:start w:val="1"/>
      <w:numFmt w:val="bullet"/>
      <w:pStyle w:val="Bullets"/>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0D30B8"/>
    <w:multiLevelType w:val="hybridMultilevel"/>
    <w:tmpl w:val="7CCC09A2"/>
    <w:lvl w:ilvl="0" w:tplc="2D380E50">
      <w:start w:val="1"/>
      <w:numFmt w:val="lowerLetter"/>
      <w:lvlText w:val="%1)"/>
      <w:lvlJc w:val="left"/>
      <w:pPr>
        <w:ind w:left="720" w:hanging="360"/>
      </w:pPr>
      <w:rPr>
        <w:rFonts w:hint="default"/>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2529B7"/>
    <w:multiLevelType w:val="hybridMultilevel"/>
    <w:tmpl w:val="61C8A53A"/>
    <w:lvl w:ilvl="0" w:tplc="513851BA">
      <w:start w:val="1"/>
      <w:numFmt w:val="decimal"/>
      <w:pStyle w:val="EPMNumberedcopy"/>
      <w:lvlText w:val="%1."/>
      <w:lvlJc w:val="left"/>
      <w:pPr>
        <w:ind w:left="360" w:hanging="360"/>
      </w:pPr>
      <w:rPr>
        <w:rFonts w:asciiTheme="minorHAnsi" w:hAnsiTheme="minorHAnsi"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801CE7"/>
    <w:multiLevelType w:val="hybridMultilevel"/>
    <w:tmpl w:val="F49CC2F4"/>
    <w:lvl w:ilvl="0" w:tplc="B278182A">
      <w:start w:val="1"/>
      <w:numFmt w:val="bullet"/>
      <w:lvlText w:val="‐"/>
      <w:lvlJc w:val="left"/>
      <w:pPr>
        <w:ind w:left="720" w:hanging="360"/>
      </w:pPr>
      <w:rPr>
        <w:rFonts w:ascii="Averta PE" w:hAnsi="Averta PE" w:hint="default"/>
        <w:color w:val="1381B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7"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8"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201462A3"/>
    <w:multiLevelType w:val="hybridMultilevel"/>
    <w:tmpl w:val="22D82A96"/>
    <w:lvl w:ilvl="0" w:tplc="B278182A">
      <w:start w:val="1"/>
      <w:numFmt w:val="bullet"/>
      <w:lvlText w:val="‐"/>
      <w:lvlJc w:val="left"/>
      <w:pPr>
        <w:ind w:left="720" w:hanging="360"/>
      </w:pPr>
      <w:rPr>
        <w:rFonts w:ascii="Averta PE" w:hAnsi="Averta PE" w:hint="default"/>
        <w:color w:val="1381B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A61F6A"/>
    <w:multiLevelType w:val="hybridMultilevel"/>
    <w:tmpl w:val="CBA4F154"/>
    <w:lvl w:ilvl="0" w:tplc="B278182A">
      <w:start w:val="1"/>
      <w:numFmt w:val="bullet"/>
      <w:lvlText w:val="‐"/>
      <w:lvlJc w:val="left"/>
      <w:pPr>
        <w:ind w:left="720" w:hanging="360"/>
      </w:pPr>
      <w:rPr>
        <w:rFonts w:ascii="Averta PE" w:hAnsi="Averta PE" w:hint="default"/>
        <w:color w:val="1381B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1B828AD"/>
    <w:multiLevelType w:val="hybridMultilevel"/>
    <w:tmpl w:val="9DA4171E"/>
    <w:lvl w:ilvl="0" w:tplc="B278182A">
      <w:start w:val="1"/>
      <w:numFmt w:val="bullet"/>
      <w:lvlText w:val="‐"/>
      <w:lvlJc w:val="left"/>
      <w:pPr>
        <w:ind w:left="720" w:hanging="360"/>
      </w:pPr>
      <w:rPr>
        <w:rFonts w:ascii="Averta PE" w:hAnsi="Averta PE" w:hint="default"/>
        <w:color w:val="1381B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509547A"/>
    <w:multiLevelType w:val="hybridMultilevel"/>
    <w:tmpl w:val="ADECAB7E"/>
    <w:lvl w:ilvl="0" w:tplc="71D6A5B2">
      <w:start w:val="21"/>
      <w:numFmt w:val="bullet"/>
      <w:pStyle w:val="EPMBullets"/>
      <w:lvlText w:val="•"/>
      <w:lvlJc w:val="left"/>
      <w:pPr>
        <w:ind w:left="1211" w:hanging="360"/>
      </w:pPr>
      <w:rPr>
        <w:color w:val="auto"/>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5" w15:restartNumberingAfterBreak="0">
    <w:nsid w:val="376C7113"/>
    <w:multiLevelType w:val="multilevel"/>
    <w:tmpl w:val="C8526EC6"/>
    <w:lvl w:ilvl="0">
      <w:start w:val="1"/>
      <w:numFmt w:val="decimal"/>
      <w:pStyle w:val="Sectionheading"/>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B7B21BB"/>
    <w:multiLevelType w:val="hybridMultilevel"/>
    <w:tmpl w:val="B07AEAC4"/>
    <w:lvl w:ilvl="0" w:tplc="B278182A">
      <w:start w:val="1"/>
      <w:numFmt w:val="bullet"/>
      <w:lvlText w:val="‐"/>
      <w:lvlJc w:val="left"/>
      <w:pPr>
        <w:ind w:left="720" w:hanging="360"/>
      </w:pPr>
      <w:rPr>
        <w:rFonts w:ascii="Averta PE" w:hAnsi="Averta PE" w:hint="default"/>
        <w:color w:val="1381B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5C96E25"/>
    <w:multiLevelType w:val="hybridMultilevel"/>
    <w:tmpl w:val="B06EE26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8"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2A620E"/>
    <w:multiLevelType w:val="hybridMultilevel"/>
    <w:tmpl w:val="38EC461C"/>
    <w:lvl w:ilvl="0" w:tplc="B278182A">
      <w:start w:val="1"/>
      <w:numFmt w:val="bullet"/>
      <w:lvlText w:val="‐"/>
      <w:lvlJc w:val="left"/>
      <w:pPr>
        <w:ind w:left="720" w:hanging="360"/>
      </w:pPr>
      <w:rPr>
        <w:rFonts w:ascii="Averta PE" w:hAnsi="Averta PE" w:hint="default"/>
        <w:color w:val="1381B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8831CC1"/>
    <w:multiLevelType w:val="hybridMultilevel"/>
    <w:tmpl w:val="1D00F95A"/>
    <w:lvl w:ilvl="0" w:tplc="B278182A">
      <w:start w:val="1"/>
      <w:numFmt w:val="bullet"/>
      <w:lvlText w:val="‐"/>
      <w:lvlJc w:val="left"/>
      <w:pPr>
        <w:ind w:left="720" w:hanging="360"/>
      </w:pPr>
      <w:rPr>
        <w:rFonts w:ascii="Averta PE" w:hAnsi="Averta PE" w:hint="default"/>
        <w:color w:val="1381B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3"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4" w15:restartNumberingAfterBreak="0">
    <w:nsid w:val="7D4C2525"/>
    <w:multiLevelType w:val="hybridMultilevel"/>
    <w:tmpl w:val="7CCC09A2"/>
    <w:lvl w:ilvl="0" w:tplc="2D380E50">
      <w:start w:val="1"/>
      <w:numFmt w:val="lowerLetter"/>
      <w:lvlText w:val="%1)"/>
      <w:lvlJc w:val="left"/>
      <w:pPr>
        <w:ind w:left="720" w:hanging="360"/>
      </w:pPr>
      <w:rPr>
        <w:rFonts w:hint="default"/>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06001609">
    <w:abstractNumId w:val="18"/>
  </w:num>
  <w:num w:numId="2" w16cid:durableId="711030619">
    <w:abstractNumId w:val="7"/>
  </w:num>
  <w:num w:numId="3" w16cid:durableId="103813671">
    <w:abstractNumId w:val="22"/>
  </w:num>
  <w:num w:numId="4" w16cid:durableId="89013151">
    <w:abstractNumId w:val="6"/>
  </w:num>
  <w:num w:numId="5" w16cid:durableId="644162832">
    <w:abstractNumId w:val="21"/>
  </w:num>
  <w:num w:numId="6" w16cid:durableId="187183596">
    <w:abstractNumId w:val="3"/>
  </w:num>
  <w:num w:numId="7" w16cid:durableId="437262740">
    <w:abstractNumId w:val="23"/>
  </w:num>
  <w:num w:numId="8" w16cid:durableId="1341465054">
    <w:abstractNumId w:val="8"/>
  </w:num>
  <w:num w:numId="9" w16cid:durableId="1704594928">
    <w:abstractNumId w:val="4"/>
  </w:num>
  <w:num w:numId="10" w16cid:durableId="335232619">
    <w:abstractNumId w:val="14"/>
  </w:num>
  <w:num w:numId="11" w16cid:durableId="1631205653">
    <w:abstractNumId w:val="10"/>
  </w:num>
  <w:num w:numId="12" w16cid:durableId="1082607134">
    <w:abstractNumId w:val="0"/>
  </w:num>
  <w:num w:numId="13" w16cid:durableId="766342601">
    <w:abstractNumId w:val="12"/>
  </w:num>
  <w:num w:numId="14" w16cid:durableId="208037102">
    <w:abstractNumId w:val="0"/>
  </w:num>
  <w:num w:numId="15" w16cid:durableId="1002046233">
    <w:abstractNumId w:val="0"/>
  </w:num>
  <w:num w:numId="16" w16cid:durableId="1934700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4003520">
    <w:abstractNumId w:val="0"/>
  </w:num>
  <w:num w:numId="18" w16cid:durableId="594678724">
    <w:abstractNumId w:val="1"/>
  </w:num>
  <w:num w:numId="19" w16cid:durableId="1850294380">
    <w:abstractNumId w:val="15"/>
  </w:num>
  <w:num w:numId="20" w16cid:durableId="889851273">
    <w:abstractNumId w:val="24"/>
  </w:num>
  <w:num w:numId="21" w16cid:durableId="1766461360">
    <w:abstractNumId w:val="2"/>
  </w:num>
  <w:num w:numId="22" w16cid:durableId="69474992">
    <w:abstractNumId w:val="19"/>
  </w:num>
  <w:num w:numId="23" w16cid:durableId="1994941280">
    <w:abstractNumId w:val="20"/>
  </w:num>
  <w:num w:numId="24" w16cid:durableId="360667504">
    <w:abstractNumId w:val="16"/>
  </w:num>
  <w:num w:numId="25" w16cid:durableId="1793478833">
    <w:abstractNumId w:val="5"/>
  </w:num>
  <w:num w:numId="26" w16cid:durableId="1570378820">
    <w:abstractNumId w:val="9"/>
  </w:num>
  <w:num w:numId="27" w16cid:durableId="757285283">
    <w:abstractNumId w:val="13"/>
  </w:num>
  <w:num w:numId="28" w16cid:durableId="1434090537">
    <w:abstractNumId w:val="11"/>
  </w:num>
  <w:num w:numId="29" w16cid:durableId="663360006">
    <w:abstractNumId w:val="14"/>
  </w:num>
  <w:num w:numId="30" w16cid:durableId="669916206">
    <w:abstractNumId w:val="14"/>
  </w:num>
  <w:num w:numId="31" w16cid:durableId="1792481084">
    <w:abstractNumId w:val="14"/>
  </w:num>
  <w:num w:numId="32" w16cid:durableId="334193567">
    <w:abstractNumId w:val="0"/>
  </w:num>
  <w:num w:numId="33" w16cid:durableId="1803302952">
    <w:abstractNumId w:val="14"/>
  </w:num>
  <w:num w:numId="34" w16cid:durableId="1755277107">
    <w:abstractNumId w:val="14"/>
  </w:num>
  <w:num w:numId="35" w16cid:durableId="615332794">
    <w:abstractNumId w:val="0"/>
  </w:num>
  <w:num w:numId="36" w16cid:durableId="2008098025">
    <w:abstractNumId w:val="0"/>
  </w:num>
  <w:num w:numId="37" w16cid:durableId="1500656433">
    <w:abstractNumId w:val="0"/>
  </w:num>
  <w:num w:numId="38" w16cid:durableId="562981731">
    <w:abstractNumId w:val="0"/>
  </w:num>
  <w:num w:numId="39" w16cid:durableId="176966731">
    <w:abstractNumId w:val="0"/>
  </w:num>
  <w:num w:numId="40" w16cid:durableId="496724699">
    <w:abstractNumId w:val="0"/>
  </w:num>
  <w:num w:numId="41" w16cid:durableId="1068378049">
    <w:abstractNumId w:val="14"/>
  </w:num>
  <w:num w:numId="42" w16cid:durableId="1952399689">
    <w:abstractNumId w:val="14"/>
  </w:num>
  <w:num w:numId="43" w16cid:durableId="1313753670">
    <w:abstractNumId w:val="14"/>
  </w:num>
  <w:num w:numId="44" w16cid:durableId="1583374534">
    <w:abstractNumId w:val="14"/>
  </w:num>
  <w:num w:numId="45" w16cid:durableId="812410458">
    <w:abstractNumId w:val="14"/>
  </w:num>
  <w:num w:numId="46" w16cid:durableId="1875844302">
    <w:abstractNumId w:val="17"/>
  </w:num>
  <w:num w:numId="47" w16cid:durableId="1266310883">
    <w:abstractNumId w:val="0"/>
  </w:num>
  <w:num w:numId="48" w16cid:durableId="2027320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NK4FAF67A/EtAAAA"/>
  </w:docVars>
  <w:rsids>
    <w:rsidRoot w:val="002C1565"/>
    <w:rsid w:val="0000207B"/>
    <w:rsid w:val="00003F42"/>
    <w:rsid w:val="0001401D"/>
    <w:rsid w:val="000168DE"/>
    <w:rsid w:val="000232A2"/>
    <w:rsid w:val="0004555D"/>
    <w:rsid w:val="000516BA"/>
    <w:rsid w:val="00060437"/>
    <w:rsid w:val="000709C6"/>
    <w:rsid w:val="00074A02"/>
    <w:rsid w:val="00086C85"/>
    <w:rsid w:val="000A3077"/>
    <w:rsid w:val="000A68CD"/>
    <w:rsid w:val="000A69A2"/>
    <w:rsid w:val="000A7D76"/>
    <w:rsid w:val="000B004F"/>
    <w:rsid w:val="000C3D4D"/>
    <w:rsid w:val="000C6C27"/>
    <w:rsid w:val="000D26FC"/>
    <w:rsid w:val="000E39D7"/>
    <w:rsid w:val="000E74DD"/>
    <w:rsid w:val="000E77C6"/>
    <w:rsid w:val="000F0751"/>
    <w:rsid w:val="000F1C2E"/>
    <w:rsid w:val="001019FF"/>
    <w:rsid w:val="00105E6D"/>
    <w:rsid w:val="001071FF"/>
    <w:rsid w:val="0012399B"/>
    <w:rsid w:val="00135C92"/>
    <w:rsid w:val="00136437"/>
    <w:rsid w:val="001372BA"/>
    <w:rsid w:val="00161F18"/>
    <w:rsid w:val="00170CC7"/>
    <w:rsid w:val="00176686"/>
    <w:rsid w:val="00177F73"/>
    <w:rsid w:val="0018763D"/>
    <w:rsid w:val="00194B7A"/>
    <w:rsid w:val="001A20D2"/>
    <w:rsid w:val="001C0B5D"/>
    <w:rsid w:val="001C7B1E"/>
    <w:rsid w:val="001E6BFE"/>
    <w:rsid w:val="00202E5E"/>
    <w:rsid w:val="0020630D"/>
    <w:rsid w:val="00211462"/>
    <w:rsid w:val="00233792"/>
    <w:rsid w:val="0023592D"/>
    <w:rsid w:val="00253F82"/>
    <w:rsid w:val="0026127B"/>
    <w:rsid w:val="00263880"/>
    <w:rsid w:val="00274850"/>
    <w:rsid w:val="0027798D"/>
    <w:rsid w:val="00277A10"/>
    <w:rsid w:val="00290623"/>
    <w:rsid w:val="00291B89"/>
    <w:rsid w:val="00297E29"/>
    <w:rsid w:val="002A4E7C"/>
    <w:rsid w:val="002A5D5B"/>
    <w:rsid w:val="002B7AC8"/>
    <w:rsid w:val="002C1565"/>
    <w:rsid w:val="002C2AD6"/>
    <w:rsid w:val="002C3BE5"/>
    <w:rsid w:val="002E77B7"/>
    <w:rsid w:val="002F6DED"/>
    <w:rsid w:val="00302B57"/>
    <w:rsid w:val="00306F8F"/>
    <w:rsid w:val="00314F04"/>
    <w:rsid w:val="00316D3F"/>
    <w:rsid w:val="00316E7D"/>
    <w:rsid w:val="00326677"/>
    <w:rsid w:val="0033140E"/>
    <w:rsid w:val="003401BB"/>
    <w:rsid w:val="00344388"/>
    <w:rsid w:val="00366CF6"/>
    <w:rsid w:val="00374A02"/>
    <w:rsid w:val="003758FB"/>
    <w:rsid w:val="00380AFA"/>
    <w:rsid w:val="00383DA9"/>
    <w:rsid w:val="003922FE"/>
    <w:rsid w:val="00396B40"/>
    <w:rsid w:val="003A4244"/>
    <w:rsid w:val="003B0246"/>
    <w:rsid w:val="003B488D"/>
    <w:rsid w:val="003C3E17"/>
    <w:rsid w:val="003D1F26"/>
    <w:rsid w:val="003E3987"/>
    <w:rsid w:val="003E5727"/>
    <w:rsid w:val="003E6B07"/>
    <w:rsid w:val="003F74E6"/>
    <w:rsid w:val="0040493A"/>
    <w:rsid w:val="00407EF8"/>
    <w:rsid w:val="0041342B"/>
    <w:rsid w:val="00414EEA"/>
    <w:rsid w:val="0042005C"/>
    <w:rsid w:val="00421226"/>
    <w:rsid w:val="00432C7B"/>
    <w:rsid w:val="00436A9B"/>
    <w:rsid w:val="00436BCB"/>
    <w:rsid w:val="00440E43"/>
    <w:rsid w:val="00441D99"/>
    <w:rsid w:val="00450A63"/>
    <w:rsid w:val="00453A4A"/>
    <w:rsid w:val="004619EA"/>
    <w:rsid w:val="004651D2"/>
    <w:rsid w:val="00474C02"/>
    <w:rsid w:val="0047656E"/>
    <w:rsid w:val="00492E2B"/>
    <w:rsid w:val="004A09F4"/>
    <w:rsid w:val="004B06D6"/>
    <w:rsid w:val="004B5130"/>
    <w:rsid w:val="004E23E5"/>
    <w:rsid w:val="004E7180"/>
    <w:rsid w:val="00506A52"/>
    <w:rsid w:val="005074CF"/>
    <w:rsid w:val="00512C09"/>
    <w:rsid w:val="00516C7E"/>
    <w:rsid w:val="00547D8D"/>
    <w:rsid w:val="00556E67"/>
    <w:rsid w:val="0055777F"/>
    <w:rsid w:val="00561013"/>
    <w:rsid w:val="005646F4"/>
    <w:rsid w:val="00566160"/>
    <w:rsid w:val="0057181D"/>
    <w:rsid w:val="0058523B"/>
    <w:rsid w:val="00586BC8"/>
    <w:rsid w:val="0059496C"/>
    <w:rsid w:val="005A00E0"/>
    <w:rsid w:val="005B5E37"/>
    <w:rsid w:val="005C1884"/>
    <w:rsid w:val="005C35A4"/>
    <w:rsid w:val="005D1780"/>
    <w:rsid w:val="005D1ED7"/>
    <w:rsid w:val="005F48DA"/>
    <w:rsid w:val="005F4A9C"/>
    <w:rsid w:val="00602503"/>
    <w:rsid w:val="00604313"/>
    <w:rsid w:val="00606CBC"/>
    <w:rsid w:val="006100ED"/>
    <w:rsid w:val="00642B63"/>
    <w:rsid w:val="00643ACD"/>
    <w:rsid w:val="0065326F"/>
    <w:rsid w:val="00657911"/>
    <w:rsid w:val="00666C8A"/>
    <w:rsid w:val="0067186A"/>
    <w:rsid w:val="0067306B"/>
    <w:rsid w:val="00681551"/>
    <w:rsid w:val="006819EA"/>
    <w:rsid w:val="006822DD"/>
    <w:rsid w:val="006A5EB9"/>
    <w:rsid w:val="006B21DC"/>
    <w:rsid w:val="006D1117"/>
    <w:rsid w:val="006E070E"/>
    <w:rsid w:val="00706D20"/>
    <w:rsid w:val="00715684"/>
    <w:rsid w:val="007174A0"/>
    <w:rsid w:val="007411F2"/>
    <w:rsid w:val="00741B98"/>
    <w:rsid w:val="007431CC"/>
    <w:rsid w:val="00744158"/>
    <w:rsid w:val="00751A9B"/>
    <w:rsid w:val="007573AD"/>
    <w:rsid w:val="00766210"/>
    <w:rsid w:val="0077514E"/>
    <w:rsid w:val="00776B19"/>
    <w:rsid w:val="007934AF"/>
    <w:rsid w:val="007B14AC"/>
    <w:rsid w:val="007C3693"/>
    <w:rsid w:val="007D4F1D"/>
    <w:rsid w:val="007E2FF9"/>
    <w:rsid w:val="007E43E0"/>
    <w:rsid w:val="007E777D"/>
    <w:rsid w:val="008078DF"/>
    <w:rsid w:val="00810758"/>
    <w:rsid w:val="00813F13"/>
    <w:rsid w:val="008379A5"/>
    <w:rsid w:val="008414A4"/>
    <w:rsid w:val="008535B3"/>
    <w:rsid w:val="008546C6"/>
    <w:rsid w:val="00854B92"/>
    <w:rsid w:val="008566A6"/>
    <w:rsid w:val="00871BB4"/>
    <w:rsid w:val="00876676"/>
    <w:rsid w:val="00884B6B"/>
    <w:rsid w:val="00895306"/>
    <w:rsid w:val="00895388"/>
    <w:rsid w:val="00897ED5"/>
    <w:rsid w:val="008B3B7E"/>
    <w:rsid w:val="008B4B53"/>
    <w:rsid w:val="008C1071"/>
    <w:rsid w:val="008C3D8B"/>
    <w:rsid w:val="008D27A6"/>
    <w:rsid w:val="008E40A1"/>
    <w:rsid w:val="008E5240"/>
    <w:rsid w:val="008F524E"/>
    <w:rsid w:val="00900C4E"/>
    <w:rsid w:val="009024E9"/>
    <w:rsid w:val="00902FA1"/>
    <w:rsid w:val="009043C3"/>
    <w:rsid w:val="00906CB4"/>
    <w:rsid w:val="00931AF6"/>
    <w:rsid w:val="00932066"/>
    <w:rsid w:val="00945C3A"/>
    <w:rsid w:val="00950EF6"/>
    <w:rsid w:val="00956AAE"/>
    <w:rsid w:val="00956DFE"/>
    <w:rsid w:val="009609E2"/>
    <w:rsid w:val="00975D06"/>
    <w:rsid w:val="0099024B"/>
    <w:rsid w:val="00993476"/>
    <w:rsid w:val="00993A49"/>
    <w:rsid w:val="009A218D"/>
    <w:rsid w:val="009B2A9D"/>
    <w:rsid w:val="009B4EF2"/>
    <w:rsid w:val="009C2A51"/>
    <w:rsid w:val="009C72ED"/>
    <w:rsid w:val="009D79E8"/>
    <w:rsid w:val="009F46DB"/>
    <w:rsid w:val="009F6988"/>
    <w:rsid w:val="00A01F7C"/>
    <w:rsid w:val="00A11070"/>
    <w:rsid w:val="00A24DEE"/>
    <w:rsid w:val="00A31C48"/>
    <w:rsid w:val="00A43BDD"/>
    <w:rsid w:val="00A45D24"/>
    <w:rsid w:val="00A56814"/>
    <w:rsid w:val="00A66D21"/>
    <w:rsid w:val="00A66FD9"/>
    <w:rsid w:val="00A70CE0"/>
    <w:rsid w:val="00A73058"/>
    <w:rsid w:val="00A7502D"/>
    <w:rsid w:val="00A84765"/>
    <w:rsid w:val="00A85732"/>
    <w:rsid w:val="00A905D0"/>
    <w:rsid w:val="00A95898"/>
    <w:rsid w:val="00A97C4C"/>
    <w:rsid w:val="00AA5AB6"/>
    <w:rsid w:val="00AB3286"/>
    <w:rsid w:val="00AB59B6"/>
    <w:rsid w:val="00AB71FA"/>
    <w:rsid w:val="00AD0020"/>
    <w:rsid w:val="00AD0DE2"/>
    <w:rsid w:val="00AE2D2C"/>
    <w:rsid w:val="00AE3375"/>
    <w:rsid w:val="00AE371E"/>
    <w:rsid w:val="00AE6E21"/>
    <w:rsid w:val="00AF40EF"/>
    <w:rsid w:val="00B03004"/>
    <w:rsid w:val="00B031AA"/>
    <w:rsid w:val="00B0644B"/>
    <w:rsid w:val="00B16C6E"/>
    <w:rsid w:val="00B217E1"/>
    <w:rsid w:val="00B31D09"/>
    <w:rsid w:val="00B43F95"/>
    <w:rsid w:val="00B52014"/>
    <w:rsid w:val="00B56C3C"/>
    <w:rsid w:val="00B6519C"/>
    <w:rsid w:val="00B66E73"/>
    <w:rsid w:val="00B70DA3"/>
    <w:rsid w:val="00B76064"/>
    <w:rsid w:val="00B82F82"/>
    <w:rsid w:val="00B96AC6"/>
    <w:rsid w:val="00BA310B"/>
    <w:rsid w:val="00BC2D89"/>
    <w:rsid w:val="00BC517B"/>
    <w:rsid w:val="00BC7D74"/>
    <w:rsid w:val="00BD195D"/>
    <w:rsid w:val="00BD2006"/>
    <w:rsid w:val="00BF093F"/>
    <w:rsid w:val="00BF5C2B"/>
    <w:rsid w:val="00C174AA"/>
    <w:rsid w:val="00C1776C"/>
    <w:rsid w:val="00C22CD9"/>
    <w:rsid w:val="00C66DAB"/>
    <w:rsid w:val="00C70BD6"/>
    <w:rsid w:val="00C714D8"/>
    <w:rsid w:val="00C7273B"/>
    <w:rsid w:val="00C72AEC"/>
    <w:rsid w:val="00C76AFF"/>
    <w:rsid w:val="00C90711"/>
    <w:rsid w:val="00C91E4C"/>
    <w:rsid w:val="00C92092"/>
    <w:rsid w:val="00C9409C"/>
    <w:rsid w:val="00C949FF"/>
    <w:rsid w:val="00CA6DA8"/>
    <w:rsid w:val="00CC0187"/>
    <w:rsid w:val="00CC3513"/>
    <w:rsid w:val="00CC368F"/>
    <w:rsid w:val="00CD2F0D"/>
    <w:rsid w:val="00CD5603"/>
    <w:rsid w:val="00CE0AB2"/>
    <w:rsid w:val="00CE3DA9"/>
    <w:rsid w:val="00CE57D7"/>
    <w:rsid w:val="00CE7F25"/>
    <w:rsid w:val="00CF178C"/>
    <w:rsid w:val="00CF6D6E"/>
    <w:rsid w:val="00D07A72"/>
    <w:rsid w:val="00D26048"/>
    <w:rsid w:val="00D31B75"/>
    <w:rsid w:val="00D543D4"/>
    <w:rsid w:val="00D55A17"/>
    <w:rsid w:val="00D70D35"/>
    <w:rsid w:val="00D96BEF"/>
    <w:rsid w:val="00DA7034"/>
    <w:rsid w:val="00DC1E3B"/>
    <w:rsid w:val="00DC34A0"/>
    <w:rsid w:val="00DC4A06"/>
    <w:rsid w:val="00DE13BF"/>
    <w:rsid w:val="00DF03A7"/>
    <w:rsid w:val="00DF7A1F"/>
    <w:rsid w:val="00E05C82"/>
    <w:rsid w:val="00E060CA"/>
    <w:rsid w:val="00E23864"/>
    <w:rsid w:val="00E2397A"/>
    <w:rsid w:val="00E40C60"/>
    <w:rsid w:val="00E43C78"/>
    <w:rsid w:val="00E50360"/>
    <w:rsid w:val="00E5165C"/>
    <w:rsid w:val="00E81934"/>
    <w:rsid w:val="00E908BE"/>
    <w:rsid w:val="00E912BA"/>
    <w:rsid w:val="00E92460"/>
    <w:rsid w:val="00E955FF"/>
    <w:rsid w:val="00EA603F"/>
    <w:rsid w:val="00EC26CF"/>
    <w:rsid w:val="00EC36C4"/>
    <w:rsid w:val="00EC3DA6"/>
    <w:rsid w:val="00ED1D4E"/>
    <w:rsid w:val="00ED43B6"/>
    <w:rsid w:val="00EF68C6"/>
    <w:rsid w:val="00F046AC"/>
    <w:rsid w:val="00F10C5F"/>
    <w:rsid w:val="00F13DD1"/>
    <w:rsid w:val="00F17EA3"/>
    <w:rsid w:val="00F30DD3"/>
    <w:rsid w:val="00F3311D"/>
    <w:rsid w:val="00F44082"/>
    <w:rsid w:val="00F51696"/>
    <w:rsid w:val="00F560D0"/>
    <w:rsid w:val="00F60B99"/>
    <w:rsid w:val="00F66A35"/>
    <w:rsid w:val="00F84BE2"/>
    <w:rsid w:val="00FA6B40"/>
    <w:rsid w:val="00FB08C8"/>
    <w:rsid w:val="00FC2EFD"/>
    <w:rsid w:val="00FE292D"/>
    <w:rsid w:val="00FE45A2"/>
    <w:rsid w:val="071C72D5"/>
    <w:rsid w:val="0DC4A895"/>
    <w:rsid w:val="163B295D"/>
    <w:rsid w:val="25D37B2C"/>
    <w:rsid w:val="2CB88A19"/>
    <w:rsid w:val="36A3CBD6"/>
    <w:rsid w:val="57504E55"/>
    <w:rsid w:val="7296D105"/>
    <w:rsid w:val="7389577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51AD9667-EF2C-B34D-BFE3-2D776B2E5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paragraph" w:styleId="Heading3">
    <w:name w:val="heading 3"/>
    <w:basedOn w:val="Normal"/>
    <w:next w:val="Normal"/>
    <w:link w:val="Heading3Char"/>
    <w:uiPriority w:val="9"/>
    <w:semiHidden/>
    <w:unhideWhenUsed/>
    <w:qFormat/>
    <w:rsid w:val="00A66D21"/>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956AAE"/>
    <w:pPr>
      <w:spacing w:before="200" w:after="120" w:line="280" w:lineRule="exact"/>
    </w:pPr>
    <w:rPr>
      <w:rFonts w:ascii="Arial" w:hAnsi="Arial" w:cs="Arial"/>
      <w:b/>
      <w:bCs/>
      <w:sz w:val="28"/>
      <w:szCs w:val="28"/>
    </w:rPr>
  </w:style>
  <w:style w:type="paragraph" w:customStyle="1" w:styleId="EPMTextstyle">
    <w:name w:val="EPM Text style"/>
    <w:link w:val="EPMTextstyleChar"/>
    <w:qFormat/>
    <w:rsid w:val="00715684"/>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B56C3C"/>
    <w:pPr>
      <w:spacing w:after="240" w:line="320" w:lineRule="exact"/>
    </w:pPr>
    <w:rPr>
      <w:rFonts w:ascii="Arial" w:hAnsi="Arial" w:cs="Arial"/>
      <w:b/>
      <w:sz w:val="32"/>
    </w:rPr>
  </w:style>
  <w:style w:type="paragraph" w:customStyle="1" w:styleId="EPMPageTitle">
    <w:name w:val="EPM Page Title"/>
    <w:rsid w:val="0004555D"/>
    <w:pPr>
      <w:spacing w:line="720" w:lineRule="exact"/>
    </w:pPr>
    <w:rPr>
      <w:rFonts w:ascii="Arial" w:hAnsi="Arial" w:cs="Calibri"/>
      <w:sz w:val="72"/>
      <w:szCs w:val="72"/>
    </w:rPr>
  </w:style>
  <w:style w:type="paragraph" w:customStyle="1" w:styleId="EPMNumberedcopy">
    <w:name w:val="EPM Numbered copy"/>
    <w:basedOn w:val="EPMTextstyle"/>
    <w:qFormat/>
    <w:rsid w:val="00956AAE"/>
    <w:pPr>
      <w:numPr>
        <w:numId w:val="9"/>
      </w:numPr>
      <w:spacing w:before="120" w:after="120"/>
      <w:ind w:left="357" w:hanging="357"/>
    </w:pPr>
    <w:rPr>
      <w:rFonts w:cs="Tahoma"/>
    </w:rPr>
  </w:style>
  <w:style w:type="paragraph" w:customStyle="1" w:styleId="EPMBullets">
    <w:name w:val="EPM Bullets"/>
    <w:basedOn w:val="EPMTextstyle"/>
    <w:qFormat/>
    <w:rsid w:val="00956AAE"/>
    <w:pPr>
      <w:numPr>
        <w:numId w:val="10"/>
      </w:numPr>
      <w:spacing w:before="120" w:after="1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956AAE"/>
    <w:pPr>
      <w:spacing w:before="200" w:after="120" w:line="280" w:lineRule="exact"/>
    </w:pPr>
    <w:rPr>
      <w:rFonts w:ascii="Arial" w:hAnsi="Arial" w:cs="Arial"/>
      <w:b/>
      <w:bCs/>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0">
    <w:name w:val="EPM Numbered sub heading"/>
    <w:basedOn w:val="EPMSubheading"/>
    <w:qFormat/>
    <w:rsid w:val="0004555D"/>
    <w:pPr>
      <w:ind w:left="360" w:hanging="360"/>
    </w:pPr>
    <w:rPr>
      <w:color w:val="A31457"/>
    </w:rPr>
  </w:style>
  <w:style w:type="paragraph" w:customStyle="1" w:styleId="EPMNumberedHeading">
    <w:name w:val="EPM Numbered Heading"/>
    <w:basedOn w:val="EPMSubheading"/>
    <w:qFormat/>
    <w:rsid w:val="00956AAE"/>
    <w:pPr>
      <w:numPr>
        <w:numId w:val="12"/>
      </w:numPr>
    </w:pPr>
    <w:rPr>
      <w:sz w:val="28"/>
      <w:szCs w:val="28"/>
    </w:rPr>
  </w:style>
  <w:style w:type="paragraph" w:customStyle="1" w:styleId="EPMSubheading2">
    <w:name w:val="EPM Subheading 2"/>
    <w:basedOn w:val="EPMSubheading"/>
    <w:qFormat/>
    <w:rsid w:val="00956AAE"/>
    <w:rPr>
      <w:sz w:val="22"/>
      <w:szCs w:val="22"/>
    </w:rPr>
  </w:style>
  <w:style w:type="paragraph" w:customStyle="1" w:styleId="EPMBracket">
    <w:name w:val="EPM Bracket"/>
    <w:basedOn w:val="EPMTextstyle"/>
    <w:link w:val="EPMBracketChar"/>
    <w:qFormat/>
    <w:rsid w:val="00556E67"/>
    <w:rPr>
      <w:color w:val="A31457"/>
    </w:rPr>
  </w:style>
  <w:style w:type="paragraph" w:customStyle="1" w:styleId="EPMFormText">
    <w:name w:val="EPM Form Text"/>
    <w:basedOn w:val="EPMTextstyle"/>
    <w:link w:val="EPMFormTextChar"/>
    <w:qFormat/>
    <w:rsid w:val="00876676"/>
    <w:pPr>
      <w:spacing w:before="60" w:after="60"/>
    </w:pPr>
    <w:rPr>
      <w:b/>
      <w:bCs/>
    </w:rPr>
  </w:style>
  <w:style w:type="character" w:customStyle="1" w:styleId="EPMTextstyleChar">
    <w:name w:val="EPM Text style Char"/>
    <w:basedOn w:val="DefaultParagraphFont"/>
    <w:link w:val="EPMTextstyle"/>
    <w:rsid w:val="007E777D"/>
    <w:rPr>
      <w:rFonts w:ascii="Arial" w:hAnsi="Arial" w:cs="Arial"/>
      <w:sz w:val="21"/>
      <w:szCs w:val="20"/>
    </w:rPr>
  </w:style>
  <w:style w:type="character" w:customStyle="1" w:styleId="EPMBracketChar">
    <w:name w:val="EPM Bracket Char"/>
    <w:basedOn w:val="EPMTextstyleChar"/>
    <w:link w:val="EPMBracket"/>
    <w:rsid w:val="00556E67"/>
    <w:rPr>
      <w:rFonts w:ascii="Arial" w:hAnsi="Arial" w:cs="Arial"/>
      <w:color w:val="A31457"/>
      <w:sz w:val="21"/>
      <w:szCs w:val="20"/>
    </w:rPr>
  </w:style>
  <w:style w:type="paragraph" w:customStyle="1" w:styleId="EPMNumberedSubheading">
    <w:name w:val="EPM Numbered Subheading"/>
    <w:basedOn w:val="EPMSubheading"/>
    <w:link w:val="EPMNumberedSubheadingChar"/>
    <w:qFormat/>
    <w:rsid w:val="00956AAE"/>
    <w:pPr>
      <w:numPr>
        <w:ilvl w:val="1"/>
        <w:numId w:val="12"/>
      </w:numPr>
      <w:ind w:left="1418" w:hanging="709"/>
    </w:pPr>
  </w:style>
  <w:style w:type="character" w:customStyle="1" w:styleId="EPMFormTextChar">
    <w:name w:val="EPM Form Text Char"/>
    <w:basedOn w:val="EPMTextstyleChar"/>
    <w:link w:val="EPMFormText"/>
    <w:rsid w:val="00876676"/>
    <w:rPr>
      <w:rFonts w:ascii="Arial" w:hAnsi="Arial" w:cs="Arial"/>
      <w:b/>
      <w:bCs/>
      <w:sz w:val="21"/>
      <w:szCs w:val="20"/>
    </w:rPr>
  </w:style>
  <w:style w:type="paragraph" w:customStyle="1" w:styleId="EPMNumberedsubheading2">
    <w:name w:val="EPM Numbered subheading 2"/>
    <w:basedOn w:val="EPMSubheading"/>
    <w:link w:val="EPMNumberedsubheading2Char"/>
    <w:qFormat/>
    <w:rsid w:val="00956AAE"/>
    <w:pPr>
      <w:numPr>
        <w:ilvl w:val="2"/>
        <w:numId w:val="12"/>
      </w:numPr>
      <w:ind w:left="1843" w:hanging="425"/>
    </w:pPr>
    <w:rPr>
      <w:sz w:val="22"/>
      <w:szCs w:val="22"/>
    </w:rPr>
  </w:style>
  <w:style w:type="character" w:customStyle="1" w:styleId="EPMSubheadingChar">
    <w:name w:val="EPM Subheading Char"/>
    <w:basedOn w:val="DefaultParagraphFont"/>
    <w:link w:val="EPMSubheading"/>
    <w:rsid w:val="00956AAE"/>
    <w:rPr>
      <w:rFonts w:ascii="Arial" w:hAnsi="Arial" w:cs="Arial"/>
      <w:b/>
      <w:bCs/>
    </w:rPr>
  </w:style>
  <w:style w:type="character" w:customStyle="1" w:styleId="EPMNumberedSubheadingChar">
    <w:name w:val="EPM Numbered Subheading Char"/>
    <w:basedOn w:val="EPMSubheadingChar"/>
    <w:link w:val="EPMNumberedSubheading"/>
    <w:rsid w:val="00956AAE"/>
    <w:rPr>
      <w:rFonts w:ascii="Arial" w:hAnsi="Arial" w:cs="Arial"/>
      <w:b/>
      <w:bCs/>
    </w:rPr>
  </w:style>
  <w:style w:type="character" w:customStyle="1" w:styleId="EPMNumberedsubheading2Char">
    <w:name w:val="EPM Numbered subheading 2 Char"/>
    <w:basedOn w:val="EPMSubheadingChar"/>
    <w:link w:val="EPMNumberedsubheading2"/>
    <w:rsid w:val="00956AAE"/>
    <w:rPr>
      <w:rFonts w:ascii="Arial" w:hAnsi="Arial" w:cs="Arial"/>
      <w:b/>
      <w:bCs/>
      <w:sz w:val="22"/>
      <w:szCs w:val="22"/>
    </w:rPr>
  </w:style>
  <w:style w:type="paragraph" w:styleId="Title">
    <w:name w:val="Title"/>
    <w:basedOn w:val="Normal"/>
    <w:next w:val="Normal"/>
    <w:link w:val="TitleChar"/>
    <w:uiPriority w:val="10"/>
    <w:rsid w:val="00B56C3C"/>
    <w:pPr>
      <w:contextualSpacing/>
    </w:pPr>
    <w:rPr>
      <w:rFonts w:eastAsiaTheme="majorEastAsia" w:cs="Arial"/>
      <w:noProof/>
      <w:spacing w:val="-10"/>
      <w:kern w:val="28"/>
      <w:sz w:val="72"/>
      <w:szCs w:val="72"/>
    </w:rPr>
  </w:style>
  <w:style w:type="character" w:customStyle="1" w:styleId="TitleChar">
    <w:name w:val="Title Char"/>
    <w:basedOn w:val="DefaultParagraphFont"/>
    <w:link w:val="Title"/>
    <w:uiPriority w:val="10"/>
    <w:rsid w:val="00B56C3C"/>
    <w:rPr>
      <w:rFonts w:ascii="Arial" w:eastAsiaTheme="majorEastAsia" w:hAnsi="Arial" w:cs="Arial"/>
      <w:noProof/>
      <w:spacing w:val="-10"/>
      <w:kern w:val="28"/>
      <w:sz w:val="72"/>
      <w:szCs w:val="72"/>
    </w:rPr>
  </w:style>
  <w:style w:type="paragraph" w:customStyle="1" w:styleId="EPMHyperlinks">
    <w:name w:val="EPM Hyperlinks"/>
    <w:basedOn w:val="EPMTextstyle"/>
    <w:link w:val="EPMHyperlinksChar"/>
    <w:qFormat/>
    <w:rsid w:val="000168DE"/>
    <w:rPr>
      <w:color w:val="26529E"/>
    </w:rPr>
  </w:style>
  <w:style w:type="paragraph" w:customStyle="1" w:styleId="EPMTableHeading">
    <w:name w:val="EPM Table Heading"/>
    <w:basedOn w:val="Normal"/>
    <w:link w:val="EPMTableHeadingChar"/>
    <w:qFormat/>
    <w:rsid w:val="00D70D35"/>
    <w:pPr>
      <w:spacing w:before="60" w:after="60"/>
    </w:pPr>
    <w:rPr>
      <w:rFonts w:cs="Arial"/>
      <w:b/>
      <w:bCs/>
      <w:sz w:val="22"/>
      <w:szCs w:val="22"/>
    </w:rPr>
  </w:style>
  <w:style w:type="character" w:customStyle="1" w:styleId="EPMHyperlinksChar">
    <w:name w:val="EPM Hyperlinks Char"/>
    <w:basedOn w:val="EPMTextstyleChar"/>
    <w:link w:val="EPMHyperlinks"/>
    <w:rsid w:val="000168DE"/>
    <w:rPr>
      <w:rFonts w:ascii="Arial" w:hAnsi="Arial" w:cs="Arial"/>
      <w:color w:val="26529E"/>
      <w:sz w:val="21"/>
      <w:szCs w:val="20"/>
    </w:rPr>
  </w:style>
  <w:style w:type="paragraph" w:customStyle="1" w:styleId="EPMSchoolName">
    <w:name w:val="EPM [School Name]"/>
    <w:basedOn w:val="Title"/>
    <w:link w:val="EPMSchoolNameChar"/>
    <w:qFormat/>
    <w:rsid w:val="00B43F95"/>
    <w:rPr>
      <w:color w:val="A31457"/>
      <w:sz w:val="60"/>
      <w:szCs w:val="60"/>
    </w:rPr>
  </w:style>
  <w:style w:type="character" w:customStyle="1" w:styleId="EPMTableHeadingChar">
    <w:name w:val="EPM Table Heading Char"/>
    <w:basedOn w:val="DefaultParagraphFont"/>
    <w:link w:val="EPMTableHeading"/>
    <w:rsid w:val="00D70D35"/>
    <w:rPr>
      <w:rFonts w:ascii="Arial" w:hAnsi="Arial" w:cs="Arial"/>
      <w:b/>
      <w:bCs/>
      <w:sz w:val="22"/>
      <w:szCs w:val="22"/>
    </w:rPr>
  </w:style>
  <w:style w:type="character" w:customStyle="1" w:styleId="EPMSchoolNameChar">
    <w:name w:val="EPM [School Name] Char"/>
    <w:basedOn w:val="TitleChar"/>
    <w:link w:val="EPMSchoolName"/>
    <w:rsid w:val="00B43F95"/>
    <w:rPr>
      <w:rFonts w:ascii="Arial" w:eastAsiaTheme="majorEastAsia" w:hAnsi="Arial" w:cs="Arial"/>
      <w:noProof/>
      <w:color w:val="A31457"/>
      <w:spacing w:val="-10"/>
      <w:kern w:val="28"/>
      <w:sz w:val="60"/>
      <w:szCs w:val="60"/>
    </w:rPr>
  </w:style>
  <w:style w:type="paragraph" w:customStyle="1" w:styleId="EPMQuotes">
    <w:name w:val="EPM Quotes"/>
    <w:basedOn w:val="EPMTextstyle"/>
    <w:link w:val="EPMQuotesChar"/>
    <w:qFormat/>
    <w:rsid w:val="00956AAE"/>
    <w:rPr>
      <w:i/>
      <w:iCs/>
    </w:rPr>
  </w:style>
  <w:style w:type="paragraph" w:customStyle="1" w:styleId="EPMPolicyTitle">
    <w:name w:val="EPM Policy Title"/>
    <w:basedOn w:val="Title"/>
    <w:link w:val="EPMPolicyTitleChar"/>
    <w:qFormat/>
    <w:rsid w:val="00956AAE"/>
    <w:rPr>
      <w:b/>
      <w:bCs/>
    </w:rPr>
  </w:style>
  <w:style w:type="character" w:customStyle="1" w:styleId="EPMQuotesChar">
    <w:name w:val="EPM Quotes Char"/>
    <w:basedOn w:val="EPMTextstyleChar"/>
    <w:link w:val="EPMQuotes"/>
    <w:rsid w:val="00956AAE"/>
    <w:rPr>
      <w:rFonts w:ascii="Arial" w:hAnsi="Arial" w:cs="Arial"/>
      <w:i/>
      <w:iCs/>
      <w:sz w:val="21"/>
      <w:szCs w:val="20"/>
    </w:rPr>
  </w:style>
  <w:style w:type="character" w:customStyle="1" w:styleId="EPMPolicyTitleChar">
    <w:name w:val="EPM Policy Title Char"/>
    <w:basedOn w:val="TitleChar"/>
    <w:link w:val="EPMPolicyTitle"/>
    <w:rsid w:val="00956AAE"/>
    <w:rPr>
      <w:rFonts w:ascii="Arial" w:eastAsiaTheme="majorEastAsia" w:hAnsi="Arial" w:cs="Arial"/>
      <w:b/>
      <w:bCs/>
      <w:noProof/>
      <w:spacing w:val="-10"/>
      <w:kern w:val="28"/>
      <w:sz w:val="72"/>
      <w:szCs w:val="72"/>
    </w:rPr>
  </w:style>
  <w:style w:type="character" w:customStyle="1" w:styleId="Heading3Char">
    <w:name w:val="Heading 3 Char"/>
    <w:basedOn w:val="DefaultParagraphFont"/>
    <w:link w:val="Heading3"/>
    <w:uiPriority w:val="9"/>
    <w:rsid w:val="00A66D21"/>
    <w:rPr>
      <w:rFonts w:asciiTheme="majorHAnsi" w:eastAsiaTheme="majorEastAsia" w:hAnsiTheme="majorHAnsi" w:cstheme="majorBidi"/>
      <w:color w:val="1F3763" w:themeColor="accent1" w:themeShade="7F"/>
    </w:rPr>
  </w:style>
  <w:style w:type="paragraph" w:customStyle="1" w:styleId="Bullets">
    <w:name w:val="Bullets"/>
    <w:basedOn w:val="ListParagraph"/>
    <w:link w:val="BulletsChar"/>
    <w:rsid w:val="00A66D21"/>
    <w:pPr>
      <w:numPr>
        <w:numId w:val="18"/>
      </w:numPr>
      <w:spacing w:after="120"/>
      <w:contextualSpacing w:val="0"/>
    </w:pPr>
  </w:style>
  <w:style w:type="character" w:customStyle="1" w:styleId="BulletsChar">
    <w:name w:val="Bullets Char"/>
    <w:basedOn w:val="DefaultParagraphFont"/>
    <w:link w:val="Bullets"/>
    <w:rsid w:val="00A66D21"/>
    <w:rPr>
      <w:rFonts w:cstheme="minorHAnsi"/>
      <w:color w:val="44474A"/>
      <w:sz w:val="22"/>
      <w:szCs w:val="22"/>
    </w:rPr>
  </w:style>
  <w:style w:type="paragraph" w:styleId="ListParagraph">
    <w:name w:val="List Paragraph"/>
    <w:basedOn w:val="Normal"/>
    <w:link w:val="ListParagraphChar"/>
    <w:uiPriority w:val="34"/>
    <w:qFormat/>
    <w:rsid w:val="00A66D21"/>
    <w:pPr>
      <w:spacing w:after="200" w:line="276" w:lineRule="auto"/>
      <w:ind w:left="720"/>
      <w:contextualSpacing/>
    </w:pPr>
    <w:rPr>
      <w:rFonts w:asciiTheme="minorHAnsi" w:hAnsiTheme="minorHAnsi" w:cstheme="minorHAnsi"/>
      <w:color w:val="44474A"/>
      <w:sz w:val="22"/>
      <w:szCs w:val="22"/>
    </w:rPr>
  </w:style>
  <w:style w:type="character" w:customStyle="1" w:styleId="ListParagraphChar">
    <w:name w:val="List Paragraph Char"/>
    <w:basedOn w:val="DefaultParagraphFont"/>
    <w:link w:val="ListParagraph"/>
    <w:uiPriority w:val="34"/>
    <w:rsid w:val="00A66D21"/>
    <w:rPr>
      <w:rFonts w:cstheme="minorHAnsi"/>
      <w:color w:val="44474A"/>
      <w:sz w:val="22"/>
      <w:szCs w:val="22"/>
    </w:rPr>
  </w:style>
  <w:style w:type="paragraph" w:customStyle="1" w:styleId="Section-Level1">
    <w:name w:val="Section - Level 1"/>
    <w:link w:val="Section-Level1Char"/>
    <w:qFormat/>
    <w:rsid w:val="00A66D21"/>
    <w:pPr>
      <w:keepNext/>
      <w:keepLines/>
      <w:spacing w:before="360" w:after="120" w:line="276" w:lineRule="auto"/>
      <w:outlineLvl w:val="1"/>
    </w:pPr>
    <w:rPr>
      <w:rFonts w:ascii="Franklin Gothic Medium" w:eastAsiaTheme="majorEastAsia" w:hAnsi="Franklin Gothic Medium" w:cstheme="majorBidi"/>
      <w:bCs/>
      <w:color w:val="0077C8"/>
      <w:sz w:val="26"/>
      <w:szCs w:val="26"/>
    </w:rPr>
  </w:style>
  <w:style w:type="paragraph" w:customStyle="1" w:styleId="Section-Level2">
    <w:name w:val="Section - Level 2"/>
    <w:basedOn w:val="Normal"/>
    <w:link w:val="Section-Level2Char"/>
    <w:qFormat/>
    <w:rsid w:val="00A66D21"/>
    <w:pPr>
      <w:spacing w:after="120" w:line="276" w:lineRule="auto"/>
    </w:pPr>
    <w:rPr>
      <w:rFonts w:asciiTheme="minorHAnsi" w:hAnsiTheme="minorHAnsi" w:cstheme="minorHAnsi"/>
      <w:color w:val="44474A"/>
      <w:sz w:val="22"/>
      <w:szCs w:val="22"/>
    </w:rPr>
  </w:style>
  <w:style w:type="character" w:customStyle="1" w:styleId="Section-Level1Char">
    <w:name w:val="Section - Level 1 Char"/>
    <w:basedOn w:val="Heading2Char"/>
    <w:link w:val="Section-Level1"/>
    <w:rsid w:val="00A66D21"/>
    <w:rPr>
      <w:rFonts w:ascii="Franklin Gothic Medium" w:eastAsiaTheme="majorEastAsia" w:hAnsi="Franklin Gothic Medium" w:cstheme="majorBidi"/>
      <w:bCs/>
      <w:color w:val="0077C8"/>
      <w:sz w:val="26"/>
      <w:szCs w:val="26"/>
    </w:rPr>
  </w:style>
  <w:style w:type="character" w:customStyle="1" w:styleId="Section-Level2Char">
    <w:name w:val="Section - Level 2 Char"/>
    <w:basedOn w:val="DefaultParagraphFont"/>
    <w:link w:val="Section-Level2"/>
    <w:rsid w:val="00A66D21"/>
    <w:rPr>
      <w:rFonts w:cstheme="minorHAnsi"/>
      <w:color w:val="44474A"/>
      <w:sz w:val="22"/>
      <w:szCs w:val="22"/>
    </w:rPr>
  </w:style>
  <w:style w:type="paragraph" w:customStyle="1" w:styleId="SquareBrackets">
    <w:name w:val="Square Brackets"/>
    <w:basedOn w:val="Normal"/>
    <w:link w:val="SquareBracketsChar"/>
    <w:qFormat/>
    <w:rsid w:val="00A66D21"/>
    <w:pPr>
      <w:spacing w:after="200" w:line="276" w:lineRule="auto"/>
      <w:ind w:left="360"/>
    </w:pPr>
    <w:rPr>
      <w:rFonts w:asciiTheme="minorHAnsi" w:hAnsiTheme="minorHAnsi" w:cstheme="minorHAnsi"/>
      <w:i/>
      <w:color w:val="007790"/>
      <w:sz w:val="22"/>
      <w:szCs w:val="22"/>
    </w:rPr>
  </w:style>
  <w:style w:type="character" w:customStyle="1" w:styleId="SquareBracketsChar">
    <w:name w:val="Square Brackets Char"/>
    <w:basedOn w:val="DefaultParagraphFont"/>
    <w:link w:val="SquareBrackets"/>
    <w:rsid w:val="00A66D21"/>
    <w:rPr>
      <w:rFonts w:cstheme="minorHAnsi"/>
      <w:i/>
      <w:color w:val="007790"/>
      <w:sz w:val="22"/>
      <w:szCs w:val="22"/>
    </w:rPr>
  </w:style>
  <w:style w:type="paragraph" w:customStyle="1" w:styleId="Sectionheading">
    <w:name w:val="Section heading"/>
    <w:link w:val="SectionheadingChar"/>
    <w:qFormat/>
    <w:rsid w:val="00A66D21"/>
    <w:pPr>
      <w:keepNext/>
      <w:keepLines/>
      <w:numPr>
        <w:numId w:val="19"/>
      </w:numPr>
      <w:spacing w:before="360" w:after="120" w:line="276" w:lineRule="auto"/>
      <w:ind w:left="709" w:hanging="709"/>
      <w:outlineLvl w:val="1"/>
    </w:pPr>
    <w:rPr>
      <w:rFonts w:ascii="Tahoma" w:eastAsiaTheme="majorEastAsia" w:hAnsi="Tahoma" w:cstheme="minorHAnsi"/>
      <w:bCs/>
      <w:color w:val="FF4874"/>
      <w:sz w:val="28"/>
      <w:szCs w:val="28"/>
    </w:rPr>
  </w:style>
  <w:style w:type="character" w:customStyle="1" w:styleId="SectionheadingChar">
    <w:name w:val="Section heading Char"/>
    <w:basedOn w:val="Heading2Char"/>
    <w:link w:val="Sectionheading"/>
    <w:rsid w:val="00A66D21"/>
    <w:rPr>
      <w:rFonts w:ascii="Tahoma" w:eastAsiaTheme="majorEastAsia" w:hAnsi="Tahoma" w:cstheme="minorHAnsi"/>
      <w:bCs/>
      <w:color w:val="FF4874"/>
      <w:sz w:val="28"/>
      <w:szCs w:val="28"/>
    </w:rPr>
  </w:style>
  <w:style w:type="paragraph" w:styleId="Revision">
    <w:name w:val="Revision"/>
    <w:hidden/>
    <w:uiPriority w:val="99"/>
    <w:semiHidden/>
    <w:rsid w:val="000E39D7"/>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8" ma:contentTypeDescription="Create a new document." ma:contentTypeScope="" ma:versionID="66b0be4137fd5c3a0ac3d5a9d3fa44ac">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5e1d755a21fa749146756247d870573f"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0EF9E-E5AF-4D5F-9EAC-36AE3F0EEF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B1E7FC-2C34-4F72-926B-E8E2752AE2E2}">
  <ds:schemaRefs>
    <ds:schemaRef ds:uri="http://schemas.microsoft.com/office/2006/metadata/properties"/>
    <ds:schemaRef ds:uri="http://schemas.microsoft.com/office/infopath/2007/PartnerControls"/>
    <ds:schemaRef ds:uri="abbcacea-263c-4f06-8331-ad7cfe2bb525"/>
    <ds:schemaRef ds:uri="f9f9d8f7-6499-4d85-a3d1-c325ea0d3e5f"/>
    <ds:schemaRef ds:uri="http://schemas.microsoft.com/sharepoint/v4"/>
  </ds:schemaRefs>
</ds:datastoreItem>
</file>

<file path=customXml/itemProps3.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4.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2748</Words>
  <Characters>15669</Characters>
  <Application>Microsoft Office Word</Application>
  <DocSecurity>4</DocSecurity>
  <Lines>130</Lines>
  <Paragraphs>36</Paragraphs>
  <ScaleCrop>false</ScaleCrop>
  <Company/>
  <LinksUpToDate>false</LinksUpToDate>
  <CharactersWithSpaces>18381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Natalie Northall</cp:lastModifiedBy>
  <cp:revision>2</cp:revision>
  <dcterms:created xsi:type="dcterms:W3CDTF">2024-09-17T15:06:00Z</dcterms:created>
  <dcterms:modified xsi:type="dcterms:W3CDTF">2024-09-17T15:06:00Z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0x010100D578EC356A50D24784E32961D47B4EB1</vt:lpwstr>
  </property>
  <property fmtid="{D5CDD505-2E9C-101B-9397-08002B2CF9AE}" pid="10" name="MediaServiceImageTags">
    <vt:lpwstr/>
  </property>
</Properties>
</file>