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7A2E" w14:textId="6180770B" w:rsidR="007934AF" w:rsidRPr="001A5F2B" w:rsidRDefault="007934AF" w:rsidP="0010096E">
      <w:pPr>
        <w:pStyle w:val="EPMPolicyTitle"/>
        <w:spacing w:after="240" w:line="880" w:lineRule="exact"/>
        <w:contextualSpacing w:val="0"/>
        <w:rPr>
          <w:color w:val="002060"/>
        </w:rPr>
      </w:pPr>
      <w:r w:rsidRPr="001A5F2B">
        <w:rPr>
          <w:color w:val="002060"/>
        </w:rPr>
        <w:drawing>
          <wp:anchor distT="0" distB="0" distL="114300" distR="114300" simplePos="0" relativeHeight="251658240" behindDoc="1" locked="0" layoutInCell="1" allowOverlap="1" wp14:anchorId="17718498" wp14:editId="1664241A">
            <wp:simplePos x="0" y="0"/>
            <wp:positionH relativeFrom="column">
              <wp:posOffset>4787265</wp:posOffset>
            </wp:positionH>
            <wp:positionV relativeFrom="paragraph">
              <wp:posOffset>-1207135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AC7014" w:rsidRPr="001A5F2B">
        <w:rPr>
          <w:color w:val="002060"/>
        </w:rPr>
        <w:t xml:space="preserve">EPM Model </w:t>
      </w:r>
      <w:r w:rsidR="00D17CC1" w:rsidRPr="001A5F2B">
        <w:rPr>
          <w:color w:val="002060"/>
        </w:rPr>
        <w:t>Organisational Change Policy</w:t>
      </w:r>
    </w:p>
    <w:p w14:paraId="0835EA7D" w14:textId="77777777" w:rsidR="007934AF" w:rsidRPr="0099024B" w:rsidRDefault="007934AF" w:rsidP="007934AF">
      <w:pPr>
        <w:pStyle w:val="EPMTextstyle"/>
        <w:spacing w:after="0" w:line="720" w:lineRule="exact"/>
        <w:rPr>
          <w:color w:val="A31457"/>
          <w:sz w:val="56"/>
          <w:szCs w:val="56"/>
        </w:rPr>
      </w:pPr>
      <w:r w:rsidRPr="0099024B">
        <w:rPr>
          <w:color w:val="A31457"/>
          <w:sz w:val="56"/>
          <w:szCs w:val="56"/>
        </w:rPr>
        <w:t>[School/Academy Name]</w:t>
      </w:r>
    </w:p>
    <w:p w14:paraId="44FF1229" w14:textId="04E85895" w:rsidR="00D55A17" w:rsidRPr="0099024B" w:rsidRDefault="00D55A17" w:rsidP="00B56C3C">
      <w:pPr>
        <w:pStyle w:val="EPMPageHeading"/>
      </w:pPr>
    </w:p>
    <w:p w14:paraId="76F598CD" w14:textId="44707FC1" w:rsidR="00D55A17" w:rsidRPr="0099024B" w:rsidRDefault="00566160" w:rsidP="00B56C3C">
      <w:pPr>
        <w:pStyle w:val="EPMPageHeading"/>
      </w:pPr>
      <w:r w:rsidRPr="0099024B">
        <w:rPr>
          <w:noProof/>
          <w:lang w:eastAsia="en-GB"/>
        </w:rPr>
        <mc:AlternateContent>
          <mc:Choice Requires="wps">
            <w:drawing>
              <wp:anchor distT="0" distB="0" distL="114300" distR="114300" simplePos="0" relativeHeight="251658241" behindDoc="0" locked="0" layoutInCell="1" allowOverlap="1" wp14:anchorId="1FDE2ADA" wp14:editId="30A4DBE2">
                <wp:simplePos x="0" y="0"/>
                <wp:positionH relativeFrom="column">
                  <wp:posOffset>-178435</wp:posOffset>
                </wp:positionH>
                <wp:positionV relativeFrom="paragraph">
                  <wp:posOffset>646430</wp:posOffset>
                </wp:positionV>
                <wp:extent cx="6408199" cy="2463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408199" cy="2463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1928ADB2"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6B152B">
                              <w:rPr>
                                <w:rFonts w:cs="Arial"/>
                                <w:color w:val="A31457"/>
                                <w:sz w:val="22"/>
                                <w:szCs w:val="22"/>
                              </w:rPr>
                              <w:t xml:space="preserve"> If you are a Local Authority Maintained School, please check with your LA prior to </w:t>
                            </w:r>
                            <w:r w:rsidR="00AE53F7">
                              <w:rPr>
                                <w:rFonts w:cs="Arial"/>
                                <w:color w:val="A31457"/>
                                <w:sz w:val="22"/>
                                <w:szCs w:val="22"/>
                              </w:rPr>
                              <w:t>adopting any new or amended policies.</w:t>
                            </w:r>
                            <w:r w:rsidR="00D038C2">
                              <w:rPr>
                                <w:rFonts w:cs="Arial"/>
                                <w:color w:val="A31457"/>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2ADA" id="_x0000_t202" coordsize="21600,21600" o:spt="202" path="m,l,21600r21600,l21600,xe">
                <v:stroke joinstyle="miter"/>
                <v:path gradientshapeok="t" o:connecttype="rect"/>
              </v:shapetype>
              <v:shape id="Text Box 1" o:spid="_x0000_s1026" type="#_x0000_t202" style="position:absolute;margin-left:-14.05pt;margin-top:50.9pt;width:504.6pt;height:1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" filled="f" stroked="f">
                <v:textbox>
                  <w:txbxContent>
                    <w:p w14:paraId="75055F1B" w14:textId="18CA7A41" w:rsidR="002D0CB0" w:rsidRPr="002D0CB0" w:rsidRDefault="00D038C2" w:rsidP="002D0CB0">
                      <w:pPr>
                        <w:pStyle w:val="Standardpolicywording"/>
                        <w:spacing w:line="340" w:lineRule="exact"/>
                        <w:rPr>
                          <w:rFonts w:cs="Arial"/>
                          <w:color w:val="A31457"/>
                          <w:sz w:val="22"/>
                          <w:szCs w:val="22"/>
                        </w:rPr>
                      </w:pPr>
                      <w:r>
                        <w:rPr>
                          <w:rFonts w:cs="Arial"/>
                          <w:color w:val="A31457"/>
                          <w:sz w:val="22"/>
                          <w:szCs w:val="22"/>
                        </w:rPr>
                        <w:t>[</w:t>
                      </w:r>
                      <w:r w:rsidR="002D0CB0" w:rsidRPr="002D0CB0">
                        <w:rPr>
                          <w:rFonts w:cs="Arial"/>
                          <w:color w:val="A31457"/>
                          <w:sz w:val="22"/>
                          <w:szCs w:val="22"/>
                        </w:rPr>
                        <w:t>Please note prior to adopting this policy you should:</w:t>
                      </w:r>
                    </w:p>
                    <w:p w14:paraId="6A1E8E09" w14:textId="07CD1B10"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Ensure you have adapted it where necessary to fit the requirements of your </w:t>
                      </w:r>
                      <w:r w:rsidR="007D4D29">
                        <w:rPr>
                          <w:rFonts w:cs="Arial"/>
                          <w:color w:val="A31457"/>
                          <w:sz w:val="22"/>
                          <w:szCs w:val="22"/>
                        </w:rPr>
                        <w:t>S</w:t>
                      </w:r>
                      <w:r w:rsidRPr="002D0CB0">
                        <w:rPr>
                          <w:rFonts w:cs="Arial"/>
                          <w:color w:val="A31457"/>
                          <w:sz w:val="22"/>
                          <w:szCs w:val="22"/>
                        </w:rPr>
                        <w:t>chool/Trust</w:t>
                      </w:r>
                    </w:p>
                    <w:p w14:paraId="313BD998" w14:textId="5CE1CBF8"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Follow your usual governance process to be approved by Governors/Trustees</w:t>
                      </w:r>
                    </w:p>
                    <w:p w14:paraId="60176C64" w14:textId="5C667A13" w:rsidR="002D0CB0" w:rsidRPr="002D0CB0" w:rsidRDefault="002D0CB0" w:rsidP="002D0CB0">
                      <w:pPr>
                        <w:pStyle w:val="Standardpolicywording"/>
                        <w:numPr>
                          <w:ilvl w:val="0"/>
                          <w:numId w:val="19"/>
                        </w:numPr>
                        <w:spacing w:line="340" w:lineRule="exact"/>
                        <w:rPr>
                          <w:rFonts w:cs="Arial"/>
                          <w:color w:val="A31457"/>
                          <w:sz w:val="22"/>
                          <w:szCs w:val="22"/>
                        </w:rPr>
                      </w:pPr>
                      <w:r w:rsidRPr="002D0CB0">
                        <w:rPr>
                          <w:rFonts w:cs="Arial"/>
                          <w:color w:val="A31457"/>
                          <w:sz w:val="22"/>
                          <w:szCs w:val="22"/>
                        </w:rPr>
                        <w:t xml:space="preserve">Follow your usual process to consult on new or amended HR policies with </w:t>
                      </w:r>
                      <w:r w:rsidR="003F555F">
                        <w:rPr>
                          <w:rFonts w:cs="Arial"/>
                          <w:color w:val="A31457"/>
                          <w:sz w:val="22"/>
                          <w:szCs w:val="22"/>
                        </w:rPr>
                        <w:t>t</w:t>
                      </w:r>
                      <w:r w:rsidRPr="002D0CB0">
                        <w:rPr>
                          <w:rFonts w:cs="Arial"/>
                          <w:color w:val="A31457"/>
                          <w:sz w:val="22"/>
                          <w:szCs w:val="22"/>
                        </w:rPr>
                        <w:t xml:space="preserve">rade </w:t>
                      </w:r>
                      <w:r w:rsidR="003F555F">
                        <w:rPr>
                          <w:rFonts w:cs="Arial"/>
                          <w:color w:val="A31457"/>
                          <w:sz w:val="22"/>
                          <w:szCs w:val="22"/>
                        </w:rPr>
                        <w:t>u</w:t>
                      </w:r>
                      <w:r w:rsidRPr="002D0CB0">
                        <w:rPr>
                          <w:rFonts w:cs="Arial"/>
                          <w:color w:val="A31457"/>
                          <w:sz w:val="22"/>
                          <w:szCs w:val="22"/>
                        </w:rPr>
                        <w:t>nions</w:t>
                      </w:r>
                    </w:p>
                    <w:p w14:paraId="7DA61FCD" w14:textId="1928ADB2" w:rsidR="002D0CB0" w:rsidRPr="002D0CB0" w:rsidRDefault="002D0CB0" w:rsidP="002D0CB0">
                      <w:pPr>
                        <w:pStyle w:val="Standardpolicywording"/>
                        <w:spacing w:line="340" w:lineRule="exact"/>
                        <w:rPr>
                          <w:rFonts w:cs="Arial"/>
                          <w:color w:val="A31457"/>
                          <w:sz w:val="22"/>
                          <w:szCs w:val="22"/>
                        </w:rPr>
                      </w:pPr>
                      <w:r w:rsidRPr="002D0CB0">
                        <w:rPr>
                          <w:rFonts w:cs="Arial"/>
                          <w:color w:val="A31457"/>
                          <w:sz w:val="22"/>
                          <w:szCs w:val="22"/>
                        </w:rPr>
                        <w:t xml:space="preserve">If you are part of a </w:t>
                      </w:r>
                      <w:r w:rsidR="003F555F">
                        <w:rPr>
                          <w:rFonts w:cs="Arial"/>
                          <w:color w:val="A31457"/>
                          <w:sz w:val="22"/>
                          <w:szCs w:val="22"/>
                        </w:rPr>
                        <w:t>m</w:t>
                      </w:r>
                      <w:r w:rsidRPr="002D0CB0">
                        <w:rPr>
                          <w:rFonts w:cs="Arial"/>
                          <w:color w:val="A31457"/>
                          <w:sz w:val="22"/>
                          <w:szCs w:val="22"/>
                        </w:rPr>
                        <w:t>ulti-</w:t>
                      </w:r>
                      <w:r w:rsidR="003F555F">
                        <w:rPr>
                          <w:rFonts w:cs="Arial"/>
                          <w:color w:val="A31457"/>
                          <w:sz w:val="22"/>
                          <w:szCs w:val="22"/>
                        </w:rPr>
                        <w:t>a</w:t>
                      </w:r>
                      <w:r w:rsidRPr="002D0CB0">
                        <w:rPr>
                          <w:rFonts w:cs="Arial"/>
                          <w:color w:val="A31457"/>
                          <w:sz w:val="22"/>
                          <w:szCs w:val="22"/>
                        </w:rPr>
                        <w:t xml:space="preserve">cademy </w:t>
                      </w:r>
                      <w:r w:rsidR="003F555F">
                        <w:rPr>
                          <w:rFonts w:cs="Arial"/>
                          <w:color w:val="A31457"/>
                          <w:sz w:val="22"/>
                          <w:szCs w:val="22"/>
                        </w:rPr>
                        <w:t>t</w:t>
                      </w:r>
                      <w:r w:rsidRPr="002D0CB0">
                        <w:rPr>
                          <w:rFonts w:cs="Arial"/>
                          <w:color w:val="A31457"/>
                          <w:sz w:val="22"/>
                          <w:szCs w:val="22"/>
                        </w:rPr>
                        <w:t>rust, please check with your Trust prior to adopting any new or amended policies.</w:t>
                      </w:r>
                      <w:r w:rsidR="006B152B">
                        <w:rPr>
                          <w:rFonts w:cs="Arial"/>
                          <w:color w:val="A31457"/>
                          <w:sz w:val="22"/>
                          <w:szCs w:val="22"/>
                        </w:rPr>
                        <w:t xml:space="preserve"> If you are a Local Authority Maintained School, please check with your LA prior to </w:t>
                      </w:r>
                      <w:r w:rsidR="00AE53F7">
                        <w:rPr>
                          <w:rFonts w:cs="Arial"/>
                          <w:color w:val="A31457"/>
                          <w:sz w:val="22"/>
                          <w:szCs w:val="22"/>
                        </w:rPr>
                        <w:t>adopting any new or amended policies.</w:t>
                      </w:r>
                      <w:r w:rsidR="00D038C2">
                        <w:rPr>
                          <w:rFonts w:cs="Arial"/>
                          <w:color w:val="A31457"/>
                          <w:sz w:val="22"/>
                          <w:szCs w:val="22"/>
                        </w:rPr>
                        <w:t>]</w:t>
                      </w:r>
                    </w:p>
                  </w:txbxContent>
                </v:textbox>
              </v:shape>
            </w:pict>
          </mc:Fallback>
        </mc:AlternateContent>
      </w:r>
      <w:r w:rsidRPr="0099024B">
        <w:rPr>
          <w:noProof/>
        </w:rPr>
        <mc:AlternateContent>
          <mc:Choice Requires="wps">
            <w:drawing>
              <wp:anchor distT="0" distB="0" distL="114300" distR="114300" simplePos="0" relativeHeight="251658242" behindDoc="0" locked="0" layoutInCell="1" allowOverlap="1" wp14:anchorId="1146E2E1" wp14:editId="2909C6D2">
                <wp:simplePos x="0" y="0"/>
                <wp:positionH relativeFrom="page">
                  <wp:posOffset>-333375</wp:posOffset>
                </wp:positionH>
                <wp:positionV relativeFrom="paragraph">
                  <wp:posOffset>3973830</wp:posOffset>
                </wp:positionV>
                <wp:extent cx="926465" cy="462915"/>
                <wp:effectExtent l="3175" t="0" r="3810" b="3810"/>
                <wp:wrapNone/>
                <wp:docPr id="4" name="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4DD2E5">
              <v:shapetype id="_x0000_t5" coordsize="21600,21600" o:spt="5" adj="10800" path="m@0,l,21600r21600,xe" w14:anchorId="742F9A8C">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4"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white [3212]"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">
                <v:textbox inset="0,0,0,0"/>
                <w10:wrap anchorx="page"/>
              </v:shape>
            </w:pict>
          </mc:Fallback>
        </mc:AlternateContent>
      </w:r>
    </w:p>
    <w:p w14:paraId="331A6A20" w14:textId="682F3AF4" w:rsidR="0026127B" w:rsidRPr="0004555D" w:rsidRDefault="0026127B" w:rsidP="00B56C3C">
      <w:pPr>
        <w:pStyle w:val="EPMPageHeading"/>
        <w:rPr>
          <w:rStyle w:val="Hyperlink"/>
        </w:rPr>
        <w:sectPr w:rsidR="0026127B" w:rsidRPr="0004555D" w:rsidSect="00666C8A">
          <w:headerReference w:type="default" r:id="rId12"/>
          <w:footerReference w:type="default" r:id="rId13"/>
          <w:pgSz w:w="11906" w:h="16838"/>
          <w:pgMar w:top="2842" w:right="1021" w:bottom="851" w:left="1021" w:header="709" w:footer="544" w:gutter="0"/>
          <w:cols w:space="708"/>
          <w:docGrid w:linePitch="360"/>
        </w:sectPr>
      </w:pPr>
    </w:p>
    <w:p w14:paraId="2B24A7AC" w14:textId="1C9B6F2F" w:rsidR="004B06D6" w:rsidRPr="00B56C3C" w:rsidRDefault="0067306B" w:rsidP="00B56C3C">
      <w:pPr>
        <w:pStyle w:val="EPMPageHeading"/>
      </w:pPr>
      <w:r w:rsidRPr="00B56C3C">
        <w:lastRenderedPageBreak/>
        <w:t xml:space="preserve">Policy </w:t>
      </w:r>
      <w:r w:rsidR="005C1884" w:rsidRPr="00B56C3C">
        <w:t xml:space="preserve">Version </w:t>
      </w:r>
      <w:r w:rsidRPr="00B56C3C">
        <w:t>Control</w:t>
      </w:r>
    </w:p>
    <w:tbl>
      <w:tblPr>
        <w:tblStyle w:val="EPMTableStyle"/>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1"/>
        <w:gridCol w:w="1402"/>
        <w:gridCol w:w="3735"/>
        <w:gridCol w:w="3317"/>
      </w:tblGrid>
      <w:tr w:rsidR="00782476" w:rsidRPr="0099024B" w14:paraId="39133F31" w14:textId="6D5EC18E" w:rsidTr="4EBDBAE1">
        <w:trPr>
          <w:cnfStyle w:val="100000000000" w:firstRow="1" w:lastRow="0" w:firstColumn="0" w:lastColumn="0" w:oddVBand="0" w:evenVBand="0" w:oddHBand="0" w:evenHBand="0" w:firstRowFirstColumn="0" w:firstRowLastColumn="0" w:lastRowFirstColumn="0" w:lastRowLastColumn="0"/>
        </w:trPr>
        <w:tc>
          <w:tcPr>
            <w:tcW w:w="1402" w:type="dxa"/>
            <w:tcBorders>
              <w:top w:val="single" w:sz="2" w:space="0" w:color="auto"/>
              <w:left w:val="single" w:sz="2" w:space="0" w:color="auto"/>
              <w:bottom w:val="single" w:sz="2" w:space="0" w:color="auto"/>
              <w:right w:val="single" w:sz="2" w:space="0" w:color="auto"/>
            </w:tcBorders>
            <w:shd w:val="clear" w:color="auto" w:fill="F0F0EB"/>
          </w:tcPr>
          <w:p w14:paraId="7103E3F2" w14:textId="6B7C014D" w:rsidR="00782476" w:rsidRPr="00876676" w:rsidRDefault="00782476" w:rsidP="0096257B">
            <w:pPr>
              <w:rPr>
                <w:rFonts w:cs="Arial"/>
                <w:color w:val="auto"/>
              </w:rPr>
            </w:pPr>
            <w:r>
              <w:rPr>
                <w:rFonts w:cs="Arial"/>
                <w:color w:val="auto"/>
                <w:sz w:val="22"/>
                <w:szCs w:val="40"/>
              </w:rPr>
              <w:t>Date</w:t>
            </w:r>
          </w:p>
        </w:tc>
        <w:tc>
          <w:tcPr>
            <w:tcW w:w="1402" w:type="dxa"/>
            <w:tcBorders>
              <w:top w:val="single" w:sz="2" w:space="0" w:color="auto"/>
              <w:left w:val="single" w:sz="2" w:space="0" w:color="auto"/>
              <w:bottom w:val="single" w:sz="2" w:space="0" w:color="auto"/>
              <w:right w:val="single" w:sz="2" w:space="0" w:color="auto"/>
            </w:tcBorders>
            <w:shd w:val="clear" w:color="auto" w:fill="F0F0EB"/>
          </w:tcPr>
          <w:p w14:paraId="3D4CB5CC" w14:textId="5D644A68" w:rsidR="00782476" w:rsidRPr="00876676" w:rsidRDefault="003A0B26" w:rsidP="0096257B">
            <w:pPr>
              <w:rPr>
                <w:rFonts w:cs="Arial"/>
                <w:color w:val="auto"/>
              </w:rPr>
            </w:pPr>
            <w:r>
              <w:rPr>
                <w:rFonts w:cs="Arial"/>
                <w:color w:val="auto"/>
                <w:sz w:val="22"/>
                <w:szCs w:val="40"/>
              </w:rPr>
              <w:t>Version</w:t>
            </w:r>
          </w:p>
        </w:tc>
        <w:tc>
          <w:tcPr>
            <w:tcW w:w="3736" w:type="dxa"/>
            <w:tcBorders>
              <w:top w:val="single" w:sz="2" w:space="0" w:color="auto"/>
              <w:left w:val="single" w:sz="2" w:space="0" w:color="auto"/>
              <w:bottom w:val="single" w:sz="2" w:space="0" w:color="auto"/>
              <w:right w:val="single" w:sz="2" w:space="0" w:color="auto"/>
            </w:tcBorders>
            <w:shd w:val="clear" w:color="auto" w:fill="F0F0EB"/>
          </w:tcPr>
          <w:p w14:paraId="42E728C1" w14:textId="0BAD5899" w:rsidR="00782476" w:rsidRPr="003A0B26" w:rsidRDefault="003A0B26" w:rsidP="0096257B">
            <w:pPr>
              <w:rPr>
                <w:rFonts w:cs="Arial"/>
                <w:color w:val="auto"/>
                <w:sz w:val="22"/>
                <w:szCs w:val="22"/>
              </w:rPr>
            </w:pPr>
            <w:r w:rsidRPr="003A0B26">
              <w:rPr>
                <w:rFonts w:cs="Arial"/>
                <w:color w:val="auto"/>
                <w:sz w:val="22"/>
                <w:szCs w:val="22"/>
              </w:rPr>
              <w:t>Amendments/Comments</w:t>
            </w:r>
          </w:p>
        </w:tc>
        <w:tc>
          <w:tcPr>
            <w:tcW w:w="3318" w:type="dxa"/>
            <w:tcBorders>
              <w:top w:val="single" w:sz="2" w:space="0" w:color="auto"/>
              <w:left w:val="single" w:sz="2" w:space="0" w:color="auto"/>
              <w:bottom w:val="single" w:sz="2" w:space="0" w:color="auto"/>
              <w:right w:val="single" w:sz="2" w:space="0" w:color="auto"/>
            </w:tcBorders>
            <w:shd w:val="clear" w:color="auto" w:fill="F0F0EB"/>
          </w:tcPr>
          <w:p w14:paraId="67345952" w14:textId="5D7E541A" w:rsidR="00782476" w:rsidRPr="00876676" w:rsidRDefault="00693673" w:rsidP="0096257B">
            <w:pPr>
              <w:rPr>
                <w:rFonts w:cs="Arial"/>
                <w:sz w:val="22"/>
                <w:szCs w:val="40"/>
              </w:rPr>
            </w:pPr>
            <w:r w:rsidRPr="00693673">
              <w:rPr>
                <w:rFonts w:cs="Arial"/>
                <w:color w:val="auto"/>
                <w:sz w:val="22"/>
                <w:szCs w:val="40"/>
              </w:rPr>
              <w:t>Reviewer/s</w:t>
            </w:r>
          </w:p>
        </w:tc>
      </w:tr>
      <w:tr w:rsidR="00782476" w:rsidRPr="0099024B" w14:paraId="7C2E6348" w14:textId="375FE84E" w:rsidTr="4EBDBAE1">
        <w:tc>
          <w:tcPr>
            <w:tcW w:w="1402" w:type="dxa"/>
            <w:tcBorders>
              <w:top w:val="single" w:sz="2" w:space="0" w:color="auto"/>
            </w:tcBorders>
          </w:tcPr>
          <w:p w14:paraId="326C14CA" w14:textId="6BA85E52" w:rsidR="00782476" w:rsidRPr="009F6988" w:rsidRDefault="00693673" w:rsidP="0096257B">
            <w:pPr>
              <w:rPr>
                <w:rFonts w:cs="Arial"/>
                <w:b w:val="0"/>
                <w:bCs/>
                <w:sz w:val="21"/>
                <w:szCs w:val="21"/>
              </w:rPr>
            </w:pPr>
            <w:r>
              <w:rPr>
                <w:rFonts w:cs="Arial"/>
                <w:b w:val="0"/>
                <w:bCs/>
                <w:sz w:val="21"/>
                <w:szCs w:val="21"/>
              </w:rPr>
              <w:t>June 2022</w:t>
            </w:r>
          </w:p>
        </w:tc>
        <w:tc>
          <w:tcPr>
            <w:tcW w:w="1402" w:type="dxa"/>
            <w:tcBorders>
              <w:top w:val="single" w:sz="2" w:space="0" w:color="auto"/>
            </w:tcBorders>
          </w:tcPr>
          <w:p w14:paraId="776668FD" w14:textId="4EC4C85E" w:rsidR="00782476" w:rsidRPr="009F6988" w:rsidRDefault="29BA4509" w:rsidP="4EBDBAE1">
            <w:pPr>
              <w:rPr>
                <w:rFonts w:cs="Arial"/>
                <w:b w:val="0"/>
                <w:sz w:val="21"/>
                <w:szCs w:val="21"/>
              </w:rPr>
            </w:pPr>
            <w:r w:rsidRPr="4EBDBAE1">
              <w:rPr>
                <w:rFonts w:cs="Arial"/>
                <w:b w:val="0"/>
                <w:sz w:val="21"/>
                <w:szCs w:val="21"/>
              </w:rPr>
              <w:t>1.0</w:t>
            </w:r>
          </w:p>
        </w:tc>
        <w:tc>
          <w:tcPr>
            <w:tcW w:w="3736" w:type="dxa"/>
            <w:tcBorders>
              <w:top w:val="single" w:sz="2" w:space="0" w:color="auto"/>
            </w:tcBorders>
          </w:tcPr>
          <w:p w14:paraId="2ED6A96C" w14:textId="77777777" w:rsidR="00782476" w:rsidRPr="009F6988" w:rsidRDefault="00782476" w:rsidP="0096257B">
            <w:pPr>
              <w:rPr>
                <w:rFonts w:cs="Arial"/>
                <w:b w:val="0"/>
                <w:bCs/>
                <w:sz w:val="21"/>
                <w:szCs w:val="21"/>
              </w:rPr>
            </w:pPr>
          </w:p>
        </w:tc>
        <w:tc>
          <w:tcPr>
            <w:tcW w:w="3318" w:type="dxa"/>
            <w:tcBorders>
              <w:top w:val="single" w:sz="2" w:space="0" w:color="auto"/>
            </w:tcBorders>
          </w:tcPr>
          <w:p w14:paraId="755FC68F" w14:textId="70DAA0FA" w:rsidR="00782476" w:rsidRPr="009F6988" w:rsidRDefault="00693673" w:rsidP="0096257B">
            <w:pPr>
              <w:rPr>
                <w:rFonts w:cs="Arial"/>
                <w:b w:val="0"/>
                <w:bCs/>
                <w:sz w:val="21"/>
                <w:szCs w:val="21"/>
              </w:rPr>
            </w:pPr>
            <w:r>
              <w:rPr>
                <w:rFonts w:cs="Arial"/>
                <w:b w:val="0"/>
                <w:bCs/>
                <w:sz w:val="21"/>
                <w:szCs w:val="21"/>
              </w:rPr>
              <w:t>AVW</w:t>
            </w:r>
          </w:p>
        </w:tc>
      </w:tr>
      <w:tr w:rsidR="00782476" w:rsidRPr="0099024B" w14:paraId="66797FDA" w14:textId="5524CEFF" w:rsidTr="4EBDBAE1">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1AA3B333" w14:textId="55F73276" w:rsidR="00782476" w:rsidRPr="009F6988" w:rsidRDefault="00422FCB" w:rsidP="0096257B">
            <w:pPr>
              <w:rPr>
                <w:rFonts w:cs="Arial"/>
                <w:b w:val="0"/>
                <w:bCs/>
                <w:sz w:val="21"/>
                <w:szCs w:val="21"/>
              </w:rPr>
            </w:pPr>
            <w:r>
              <w:rPr>
                <w:rFonts w:cs="Arial"/>
                <w:b w:val="0"/>
                <w:bCs/>
                <w:sz w:val="21"/>
                <w:szCs w:val="21"/>
              </w:rPr>
              <w:t>June 2024</w:t>
            </w:r>
          </w:p>
        </w:tc>
        <w:tc>
          <w:tcPr>
            <w:tcW w:w="1402" w:type="dxa"/>
            <w:shd w:val="clear" w:color="auto" w:fill="FFFFFF" w:themeFill="background1"/>
          </w:tcPr>
          <w:p w14:paraId="151E70B0" w14:textId="579C31D9" w:rsidR="00782476" w:rsidRPr="009F6988" w:rsidRDefault="00422FCB" w:rsidP="0096257B">
            <w:pPr>
              <w:rPr>
                <w:rFonts w:cs="Arial"/>
                <w:b w:val="0"/>
                <w:bCs/>
                <w:sz w:val="21"/>
                <w:szCs w:val="21"/>
              </w:rPr>
            </w:pPr>
            <w:r>
              <w:rPr>
                <w:rFonts w:cs="Arial"/>
                <w:b w:val="0"/>
                <w:bCs/>
                <w:sz w:val="21"/>
                <w:szCs w:val="21"/>
              </w:rPr>
              <w:t>1.1</w:t>
            </w:r>
          </w:p>
        </w:tc>
        <w:tc>
          <w:tcPr>
            <w:tcW w:w="3736" w:type="dxa"/>
            <w:shd w:val="clear" w:color="auto" w:fill="FFFFFF" w:themeFill="background1"/>
          </w:tcPr>
          <w:p w14:paraId="4BD5DC84" w14:textId="01A2367D" w:rsidR="00782476" w:rsidRPr="009F6988" w:rsidRDefault="00655FA4" w:rsidP="0096257B">
            <w:pPr>
              <w:rPr>
                <w:rFonts w:cs="Arial"/>
                <w:b w:val="0"/>
                <w:bCs/>
                <w:sz w:val="21"/>
                <w:szCs w:val="21"/>
              </w:rPr>
            </w:pPr>
            <w:r>
              <w:rPr>
                <w:rFonts w:cs="Arial"/>
                <w:b w:val="0"/>
                <w:bCs/>
                <w:sz w:val="21"/>
                <w:szCs w:val="21"/>
              </w:rPr>
              <w:t>formatting</w:t>
            </w:r>
          </w:p>
        </w:tc>
        <w:tc>
          <w:tcPr>
            <w:tcW w:w="3318" w:type="dxa"/>
            <w:shd w:val="clear" w:color="auto" w:fill="FFFFFF" w:themeFill="background1"/>
          </w:tcPr>
          <w:p w14:paraId="0025E402" w14:textId="569F6FF8" w:rsidR="00782476" w:rsidRPr="009F6988" w:rsidRDefault="00422FCB" w:rsidP="0096257B">
            <w:pPr>
              <w:rPr>
                <w:rFonts w:cs="Arial"/>
                <w:b w:val="0"/>
                <w:bCs/>
                <w:sz w:val="21"/>
                <w:szCs w:val="21"/>
              </w:rPr>
            </w:pPr>
            <w:r>
              <w:rPr>
                <w:rFonts w:cs="Arial"/>
                <w:b w:val="0"/>
                <w:bCs/>
                <w:sz w:val="21"/>
                <w:szCs w:val="21"/>
              </w:rPr>
              <w:t>ACA</w:t>
            </w:r>
          </w:p>
        </w:tc>
      </w:tr>
      <w:tr w:rsidR="00782476" w:rsidRPr="0099024B" w14:paraId="07A143CD" w14:textId="34B1C3AE" w:rsidTr="4EBDBAE1">
        <w:tc>
          <w:tcPr>
            <w:tcW w:w="1402" w:type="dxa"/>
          </w:tcPr>
          <w:p w14:paraId="5E2ACE79" w14:textId="7A22DFB5" w:rsidR="00782476" w:rsidRPr="009F6988" w:rsidRDefault="00F00E5A" w:rsidP="0096257B">
            <w:pPr>
              <w:rPr>
                <w:rFonts w:cs="Arial"/>
                <w:b w:val="0"/>
                <w:bCs/>
                <w:sz w:val="21"/>
                <w:szCs w:val="21"/>
              </w:rPr>
            </w:pPr>
            <w:r>
              <w:rPr>
                <w:rFonts w:cs="Arial"/>
                <w:b w:val="0"/>
                <w:bCs/>
                <w:sz w:val="21"/>
                <w:szCs w:val="21"/>
              </w:rPr>
              <w:t>June 2025</w:t>
            </w:r>
          </w:p>
        </w:tc>
        <w:tc>
          <w:tcPr>
            <w:tcW w:w="1402" w:type="dxa"/>
          </w:tcPr>
          <w:p w14:paraId="2B3FD099" w14:textId="523E4E65" w:rsidR="00782476" w:rsidRPr="009F6988" w:rsidRDefault="00F00E5A" w:rsidP="0096257B">
            <w:pPr>
              <w:rPr>
                <w:rFonts w:cs="Arial"/>
                <w:b w:val="0"/>
                <w:bCs/>
                <w:sz w:val="21"/>
                <w:szCs w:val="21"/>
              </w:rPr>
            </w:pPr>
            <w:r>
              <w:rPr>
                <w:rFonts w:cs="Arial"/>
                <w:b w:val="0"/>
                <w:bCs/>
                <w:sz w:val="21"/>
                <w:szCs w:val="21"/>
              </w:rPr>
              <w:t>1.2</w:t>
            </w:r>
          </w:p>
        </w:tc>
        <w:tc>
          <w:tcPr>
            <w:tcW w:w="3736" w:type="dxa"/>
          </w:tcPr>
          <w:p w14:paraId="4A3252DA" w14:textId="69B88BC6" w:rsidR="00782476" w:rsidRPr="009F6988" w:rsidRDefault="00F00E5A" w:rsidP="0096257B">
            <w:pPr>
              <w:rPr>
                <w:rFonts w:cs="Arial"/>
                <w:b w:val="0"/>
                <w:bCs/>
                <w:sz w:val="21"/>
                <w:szCs w:val="21"/>
              </w:rPr>
            </w:pPr>
            <w:r>
              <w:rPr>
                <w:rFonts w:cs="Arial"/>
                <w:b w:val="0"/>
                <w:bCs/>
                <w:sz w:val="21"/>
                <w:szCs w:val="21"/>
              </w:rPr>
              <w:t xml:space="preserve">Amended at </w:t>
            </w:r>
            <w:r w:rsidR="00F80439">
              <w:rPr>
                <w:rFonts w:cs="Arial"/>
                <w:b w:val="0"/>
                <w:bCs/>
                <w:sz w:val="21"/>
                <w:szCs w:val="21"/>
              </w:rPr>
              <w:t xml:space="preserve">7.1.5 and </w:t>
            </w:r>
            <w:r>
              <w:rPr>
                <w:rFonts w:cs="Arial"/>
                <w:b w:val="0"/>
                <w:bCs/>
                <w:sz w:val="21"/>
                <w:szCs w:val="21"/>
              </w:rPr>
              <w:t>8.1</w:t>
            </w:r>
          </w:p>
        </w:tc>
        <w:tc>
          <w:tcPr>
            <w:tcW w:w="3318" w:type="dxa"/>
          </w:tcPr>
          <w:p w14:paraId="22ACB24B" w14:textId="65AAE3EF" w:rsidR="00782476" w:rsidRPr="009F6988" w:rsidRDefault="006D3FD2" w:rsidP="0096257B">
            <w:pPr>
              <w:rPr>
                <w:rFonts w:cs="Arial"/>
                <w:b w:val="0"/>
                <w:bCs/>
                <w:sz w:val="21"/>
                <w:szCs w:val="21"/>
              </w:rPr>
            </w:pPr>
            <w:r>
              <w:rPr>
                <w:rFonts w:cs="Arial"/>
                <w:b w:val="0"/>
                <w:bCs/>
                <w:sz w:val="21"/>
                <w:szCs w:val="21"/>
              </w:rPr>
              <w:t>ACA</w:t>
            </w:r>
          </w:p>
        </w:tc>
      </w:tr>
      <w:tr w:rsidR="00782476" w:rsidRPr="0099024B" w14:paraId="1D3442D9" w14:textId="21C7F7CD" w:rsidTr="4EBDBAE1">
        <w:trPr>
          <w:cnfStyle w:val="000000010000" w:firstRow="0" w:lastRow="0" w:firstColumn="0" w:lastColumn="0" w:oddVBand="0" w:evenVBand="0" w:oddHBand="0" w:evenHBand="1" w:firstRowFirstColumn="0" w:firstRowLastColumn="0" w:lastRowFirstColumn="0" w:lastRowLastColumn="0"/>
        </w:trPr>
        <w:tc>
          <w:tcPr>
            <w:tcW w:w="1402" w:type="dxa"/>
            <w:shd w:val="clear" w:color="auto" w:fill="FFFFFF" w:themeFill="background1"/>
          </w:tcPr>
          <w:p w14:paraId="50B2B157" w14:textId="77777777" w:rsidR="00782476" w:rsidRPr="009F6988" w:rsidRDefault="00782476" w:rsidP="0096257B">
            <w:pPr>
              <w:rPr>
                <w:rFonts w:cs="Arial"/>
                <w:b w:val="0"/>
                <w:bCs/>
                <w:sz w:val="21"/>
                <w:szCs w:val="21"/>
              </w:rPr>
            </w:pPr>
          </w:p>
        </w:tc>
        <w:tc>
          <w:tcPr>
            <w:tcW w:w="1402" w:type="dxa"/>
            <w:shd w:val="clear" w:color="auto" w:fill="FFFFFF" w:themeFill="background1"/>
          </w:tcPr>
          <w:p w14:paraId="724A3457" w14:textId="77777777" w:rsidR="00782476" w:rsidRPr="009F6988" w:rsidRDefault="00782476" w:rsidP="0096257B">
            <w:pPr>
              <w:rPr>
                <w:rFonts w:cs="Arial"/>
                <w:b w:val="0"/>
                <w:bCs/>
                <w:sz w:val="21"/>
                <w:szCs w:val="21"/>
              </w:rPr>
            </w:pPr>
          </w:p>
        </w:tc>
        <w:tc>
          <w:tcPr>
            <w:tcW w:w="3736" w:type="dxa"/>
            <w:shd w:val="clear" w:color="auto" w:fill="FFFFFF" w:themeFill="background1"/>
          </w:tcPr>
          <w:p w14:paraId="23C6D05D" w14:textId="77777777" w:rsidR="00782476" w:rsidRPr="009F6988" w:rsidRDefault="00782476" w:rsidP="0096257B">
            <w:pPr>
              <w:rPr>
                <w:rFonts w:cs="Arial"/>
                <w:b w:val="0"/>
                <w:bCs/>
                <w:sz w:val="21"/>
                <w:szCs w:val="21"/>
              </w:rPr>
            </w:pPr>
          </w:p>
        </w:tc>
        <w:tc>
          <w:tcPr>
            <w:tcW w:w="3318" w:type="dxa"/>
            <w:shd w:val="clear" w:color="auto" w:fill="FFFFFF" w:themeFill="background1"/>
          </w:tcPr>
          <w:p w14:paraId="0F7A35DD" w14:textId="77777777" w:rsidR="00782476" w:rsidRPr="009F6988" w:rsidRDefault="00782476" w:rsidP="0096257B">
            <w:pPr>
              <w:rPr>
                <w:rFonts w:cs="Arial"/>
                <w:b w:val="0"/>
                <w:bCs/>
                <w:sz w:val="21"/>
                <w:szCs w:val="21"/>
              </w:rPr>
            </w:pPr>
          </w:p>
        </w:tc>
      </w:tr>
    </w:tbl>
    <w:p w14:paraId="3277E375" w14:textId="77777777" w:rsidR="00211462" w:rsidRPr="0099024B" w:rsidRDefault="00211462" w:rsidP="00B56C3C">
      <w:pPr>
        <w:pStyle w:val="EPMPageHeading"/>
      </w:pPr>
    </w:p>
    <w:p w14:paraId="33C7583F" w14:textId="01912A14" w:rsidR="008566A6" w:rsidRPr="0099024B" w:rsidRDefault="008566A6">
      <w:pPr>
        <w:rPr>
          <w:rFonts w:cs="Arial"/>
          <w:color w:val="A41556"/>
        </w:rPr>
      </w:pPr>
      <w:r w:rsidRPr="0099024B">
        <w:rPr>
          <w:rFonts w:cs="Arial"/>
        </w:rPr>
        <w:br w:type="page"/>
      </w:r>
    </w:p>
    <w:p w14:paraId="2A2FD466" w14:textId="1B4D14DD" w:rsidR="006B21DC" w:rsidRDefault="00BC7D74" w:rsidP="00B56C3C">
      <w:pPr>
        <w:pStyle w:val="EPMPageHeading"/>
      </w:pPr>
      <w:r w:rsidRPr="0099024B">
        <w:lastRenderedPageBreak/>
        <w:t xml:space="preserve">EPM </w:t>
      </w:r>
      <w:r w:rsidR="004660AA">
        <w:t>Model Organisational Change Policy</w:t>
      </w:r>
    </w:p>
    <w:p w14:paraId="77262CB0" w14:textId="57F5A3FF" w:rsidR="004660AA" w:rsidRDefault="00343F61" w:rsidP="00343F61">
      <w:pPr>
        <w:pStyle w:val="EPMNumberedHeading"/>
      </w:pPr>
      <w:r w:rsidRPr="00343F61">
        <w:t>Introduction</w:t>
      </w:r>
    </w:p>
    <w:p w14:paraId="73F4DB31" w14:textId="54D4DD24" w:rsidR="006635F4" w:rsidRPr="006635F4" w:rsidRDefault="006635F4" w:rsidP="006635F4">
      <w:pPr>
        <w:pStyle w:val="Numberedsubheading"/>
      </w:pPr>
      <w:r w:rsidRPr="006635F4">
        <w:t xml:space="preserve">The </w:t>
      </w:r>
      <w:r w:rsidR="00AD0BA0" w:rsidRPr="00985868">
        <w:rPr>
          <w:rStyle w:val="EPMBracketChar"/>
        </w:rPr>
        <w:t>[Governing Body/Trust]</w:t>
      </w:r>
      <w:r w:rsidR="00F103D2">
        <w:rPr>
          <w:rStyle w:val="EPMBracketChar"/>
        </w:rPr>
        <w:t xml:space="preserve"> </w:t>
      </w:r>
      <w:r w:rsidRPr="006635F4">
        <w:t xml:space="preserve">is committed to ensuring its workforce operates effectively and efficiently. </w:t>
      </w:r>
    </w:p>
    <w:p w14:paraId="1389ED73" w14:textId="001CCE8E" w:rsidR="006635F4" w:rsidRPr="006635F4" w:rsidRDefault="006635F4" w:rsidP="006635F4">
      <w:pPr>
        <w:pStyle w:val="Numberedsubheading"/>
      </w:pPr>
      <w:r w:rsidRPr="006635F4">
        <w:t xml:space="preserve">The </w:t>
      </w:r>
      <w:r w:rsidR="003852C4" w:rsidRPr="00985868">
        <w:rPr>
          <w:rStyle w:val="EPMBracketChar"/>
        </w:rPr>
        <w:t>[Governing Body/Trust]</w:t>
      </w:r>
      <w:r w:rsidR="00F103D2">
        <w:rPr>
          <w:rStyle w:val="EPMBracketChar"/>
        </w:rPr>
        <w:t xml:space="preserve"> </w:t>
      </w:r>
      <w:r w:rsidRPr="006635F4">
        <w:t xml:space="preserve">will exercise good practice and regularly review its organisational structure to ensure that it is fit for purpose and delivers the best possible outcomes for pupils and is financially sustainable longer term.  </w:t>
      </w:r>
    </w:p>
    <w:p w14:paraId="2D6717FD" w14:textId="122BDAF4" w:rsidR="006635F4" w:rsidRPr="006635F4" w:rsidRDefault="006635F4" w:rsidP="006635F4">
      <w:pPr>
        <w:pStyle w:val="Numberedsubheading"/>
      </w:pPr>
      <w:r w:rsidRPr="006635F4">
        <w:t xml:space="preserve">The </w:t>
      </w:r>
      <w:r w:rsidR="00E201D2" w:rsidRPr="00985868">
        <w:rPr>
          <w:rStyle w:val="EPMBracketChar"/>
        </w:rPr>
        <w:t>[Governing Body/Trust]</w:t>
      </w:r>
      <w:r w:rsidR="00F103D2">
        <w:rPr>
          <w:rStyle w:val="EPMBracketChar"/>
        </w:rPr>
        <w:t xml:space="preserve"> </w:t>
      </w:r>
      <w:r w:rsidRPr="006635F4">
        <w:t xml:space="preserve">aims to ensure security and stability of employment as far as possible. However, </w:t>
      </w:r>
      <w:proofErr w:type="gramStart"/>
      <w:r w:rsidRPr="006635F4">
        <w:t>in light of</w:t>
      </w:r>
      <w:proofErr w:type="gramEnd"/>
      <w:r w:rsidRPr="006635F4">
        <w:t xml:space="preserve"> funding limitations, service delivery requirements and external factors, organisational change may be necessary.  </w:t>
      </w:r>
    </w:p>
    <w:p w14:paraId="67101C20" w14:textId="77777777" w:rsidR="006635F4" w:rsidRPr="006635F4" w:rsidRDefault="006635F4" w:rsidP="006635F4">
      <w:pPr>
        <w:pStyle w:val="Numberedsubheading"/>
      </w:pPr>
      <w:r w:rsidRPr="006635F4">
        <w:t xml:space="preserve">Organisational change refers to strategic change which has the potential to affect jobs and may result in the redeployment of employees and redundancy. </w:t>
      </w:r>
    </w:p>
    <w:p w14:paraId="7013E1F2" w14:textId="77777777" w:rsidR="006635F4" w:rsidRPr="006635F4" w:rsidRDefault="006635F4" w:rsidP="006635F4">
      <w:pPr>
        <w:pStyle w:val="Numberedsubheading"/>
      </w:pPr>
      <w:r w:rsidRPr="006635F4">
        <w:t xml:space="preserve">The purpose of this policy is to provide a framework for organisational change to be planned and implemented in an open, fair and consistent manner. </w:t>
      </w:r>
    </w:p>
    <w:p w14:paraId="05A14395" w14:textId="1010400F" w:rsidR="00343F61" w:rsidRDefault="006635F4" w:rsidP="006635F4">
      <w:pPr>
        <w:pStyle w:val="EPMNumberedSubheading0"/>
        <w:numPr>
          <w:ilvl w:val="1"/>
          <w:numId w:val="12"/>
        </w:numPr>
        <w:ind w:left="1276" w:hanging="567"/>
        <w:rPr>
          <w:b w:val="0"/>
          <w:bCs w:val="0"/>
          <w:sz w:val="21"/>
          <w:szCs w:val="21"/>
        </w:rPr>
      </w:pPr>
      <w:r w:rsidRPr="00EE04D1">
        <w:rPr>
          <w:b w:val="0"/>
          <w:bCs w:val="0"/>
          <w:sz w:val="21"/>
          <w:szCs w:val="21"/>
        </w:rPr>
        <w:t xml:space="preserve">Definitions </w:t>
      </w:r>
    </w:p>
    <w:p w14:paraId="0397FF42" w14:textId="23FDD7F8" w:rsidR="00EE24FA" w:rsidRPr="00EE24FA" w:rsidRDefault="00EE24FA" w:rsidP="00EE24FA">
      <w:pPr>
        <w:pStyle w:val="EPMTextindent1"/>
        <w:ind w:left="1276"/>
        <w:rPr>
          <w:rFonts w:ascii="Arial" w:hAnsi="Arial"/>
          <w:b/>
          <w:bCs/>
        </w:rPr>
      </w:pPr>
      <w:r w:rsidRPr="00EE24FA">
        <w:rPr>
          <w:rFonts w:ascii="Arial" w:hAnsi="Arial"/>
          <w:b/>
          <w:bCs/>
        </w:rPr>
        <w:t>Headteacher</w:t>
      </w:r>
      <w:r w:rsidRPr="00EE24FA">
        <w:rPr>
          <w:rFonts w:ascii="Arial" w:hAnsi="Arial"/>
        </w:rPr>
        <w:t xml:space="preserve"> also refers to any other title used to identify the Headteacher, where appropriate.</w:t>
      </w:r>
    </w:p>
    <w:p w14:paraId="79282984" w14:textId="79A321D7" w:rsidR="00EE24FA" w:rsidRPr="00EE24FA" w:rsidRDefault="00EE24FA" w:rsidP="00EE24FA">
      <w:pPr>
        <w:pStyle w:val="EPMTextindent1"/>
        <w:ind w:left="1276"/>
        <w:rPr>
          <w:rFonts w:ascii="Arial" w:hAnsi="Arial"/>
          <w:b/>
          <w:bCs/>
        </w:rPr>
      </w:pPr>
      <w:r w:rsidRPr="00EE24FA">
        <w:rPr>
          <w:rFonts w:ascii="Arial" w:hAnsi="Arial"/>
          <w:b/>
          <w:bCs/>
        </w:rPr>
        <w:t>Employee</w:t>
      </w:r>
      <w:r w:rsidRPr="00EE24FA">
        <w:rPr>
          <w:rFonts w:ascii="Arial" w:hAnsi="Arial"/>
        </w:rPr>
        <w:t xml:space="preserve"> refers to any member of the staff, teaching and support, employed to work at the </w:t>
      </w:r>
      <w:proofErr w:type="gramStart"/>
      <w:r w:rsidRPr="00EE24FA">
        <w:rPr>
          <w:rFonts w:ascii="Arial" w:hAnsi="Arial"/>
        </w:rPr>
        <w:t>School</w:t>
      </w:r>
      <w:proofErr w:type="gramEnd"/>
      <w:r w:rsidRPr="00EE24FA">
        <w:rPr>
          <w:rFonts w:ascii="Arial" w:hAnsi="Arial"/>
        </w:rPr>
        <w:t xml:space="preserve">. </w:t>
      </w:r>
    </w:p>
    <w:p w14:paraId="4C4DF3EB" w14:textId="77777777" w:rsidR="00DE5586" w:rsidRDefault="00DE5586" w:rsidP="00DE5586">
      <w:pPr>
        <w:pStyle w:val="EPMNumberedHeading"/>
      </w:pPr>
      <w:r>
        <w:t xml:space="preserve">Scope of this Policy </w:t>
      </w:r>
    </w:p>
    <w:p w14:paraId="65936911" w14:textId="0E1947A8" w:rsidR="00DE5586" w:rsidRPr="00DE5586" w:rsidRDefault="00DE5586" w:rsidP="00DE5586">
      <w:pPr>
        <w:pStyle w:val="Numberedsubheading"/>
      </w:pPr>
      <w:r w:rsidRPr="00DE5586">
        <w:t xml:space="preserve">This policy applies to all employees of the </w:t>
      </w:r>
      <w:r w:rsidR="00AA081B" w:rsidRPr="00985868">
        <w:rPr>
          <w:rStyle w:val="EPMBracketChar"/>
        </w:rPr>
        <w:t>[Governing Body/Trust]</w:t>
      </w:r>
      <w:r w:rsidRPr="00DE5586">
        <w:t xml:space="preserve">. </w:t>
      </w:r>
    </w:p>
    <w:p w14:paraId="6332A430" w14:textId="77777777" w:rsidR="00DE5586" w:rsidRPr="00DE5586" w:rsidRDefault="00DE5586" w:rsidP="00DE5586">
      <w:pPr>
        <w:pStyle w:val="Numberedsubheading"/>
      </w:pPr>
      <w:r w:rsidRPr="00DE5586">
        <w:t xml:space="preserve">This policy does not form part of the employee’s contractual terms and conditions and may be amended from time to time. </w:t>
      </w:r>
    </w:p>
    <w:p w14:paraId="77212545" w14:textId="77777777" w:rsidR="00C25477" w:rsidRDefault="00C25477" w:rsidP="00C25477">
      <w:pPr>
        <w:pStyle w:val="EPMNumberedHeading"/>
      </w:pPr>
      <w:r w:rsidRPr="00C25477">
        <w:t>Principles</w:t>
      </w:r>
    </w:p>
    <w:p w14:paraId="4D9FC86B" w14:textId="1076AB6A" w:rsidR="00C25477" w:rsidRPr="00C25477" w:rsidRDefault="00C25477" w:rsidP="00C25477">
      <w:pPr>
        <w:pStyle w:val="Numberedsubheading"/>
      </w:pPr>
      <w:r w:rsidRPr="00C25477">
        <w:t xml:space="preserve">When managing organisational change, the </w:t>
      </w:r>
      <w:r w:rsidR="009C72CF" w:rsidRPr="00985868">
        <w:rPr>
          <w:rStyle w:val="EPMBracketChar"/>
        </w:rPr>
        <w:t>[Governing Body/Trust]</w:t>
      </w:r>
      <w:r w:rsidRPr="00C25477">
        <w:t xml:space="preserve"> will comply with all legislative requirements and operate in accordance with this policy. </w:t>
      </w:r>
    </w:p>
    <w:p w14:paraId="05D8908F" w14:textId="3DD8FB6D" w:rsidR="00C25477" w:rsidRPr="00C25477" w:rsidRDefault="00C25477" w:rsidP="00C25477">
      <w:pPr>
        <w:pStyle w:val="Numberedsubheading"/>
      </w:pPr>
      <w:r w:rsidRPr="00C25477">
        <w:t xml:space="preserve">The </w:t>
      </w:r>
      <w:r w:rsidR="003C4F32" w:rsidRPr="00985868">
        <w:rPr>
          <w:rStyle w:val="EPMBracketChar"/>
        </w:rPr>
        <w:t>[Governing Body/Trust]</w:t>
      </w:r>
      <w:r w:rsidRPr="00C25477">
        <w:t>is committed to a consistent and ongoing approach to resource planning. Non-</w:t>
      </w:r>
      <w:r w:rsidR="003C4F32">
        <w:t>salary</w:t>
      </w:r>
      <w:r w:rsidRPr="00C25477">
        <w:t xml:space="preserve"> spending will be continually reviewed </w:t>
      </w:r>
      <w:proofErr w:type="gramStart"/>
      <w:r w:rsidRPr="00C25477">
        <w:t>in order to</w:t>
      </w:r>
      <w:proofErr w:type="gramEnd"/>
      <w:r w:rsidRPr="00C25477">
        <w:t xml:space="preserve"> minimise budget-driven staffing changes. </w:t>
      </w:r>
    </w:p>
    <w:p w14:paraId="602E6FB3" w14:textId="77777777" w:rsidR="00C25477" w:rsidRPr="00C25477" w:rsidRDefault="00C25477" w:rsidP="00C25477">
      <w:pPr>
        <w:pStyle w:val="Numberedsubheading"/>
      </w:pPr>
      <w:r w:rsidRPr="00C25477">
        <w:t xml:space="preserve">Employees who are affected by organisational change will be provided with appropriate information and support in a timely manner. This includes employees who are absent from work for any reason. </w:t>
      </w:r>
    </w:p>
    <w:p w14:paraId="7080173E" w14:textId="2B2C9D95" w:rsidR="00C25477" w:rsidRPr="00C25477" w:rsidRDefault="00C25477" w:rsidP="00C25477">
      <w:pPr>
        <w:pStyle w:val="Numberedsubheading"/>
      </w:pPr>
      <w:r w:rsidRPr="00C25477">
        <w:t xml:space="preserve">Where organisational change may lead to redundancy, the </w:t>
      </w:r>
      <w:r w:rsidR="00AA7CC0" w:rsidRPr="00985868">
        <w:rPr>
          <w:rStyle w:val="EPMBracketChar"/>
        </w:rPr>
        <w:t>[Governing Body</w:t>
      </w:r>
      <w:r w:rsidR="006A310F">
        <w:rPr>
          <w:rStyle w:val="EPMBracketChar"/>
        </w:rPr>
        <w:t>’s</w:t>
      </w:r>
      <w:r w:rsidR="00AA7CC0" w:rsidRPr="00985868">
        <w:rPr>
          <w:rStyle w:val="EPMBracketChar"/>
        </w:rPr>
        <w:t>/Trust</w:t>
      </w:r>
      <w:r w:rsidR="003C4578">
        <w:rPr>
          <w:rStyle w:val="EPMBracketChar"/>
        </w:rPr>
        <w:t>'s</w:t>
      </w:r>
      <w:r w:rsidR="00AA7CC0" w:rsidRPr="00985868">
        <w:rPr>
          <w:rStyle w:val="EPMBracketChar"/>
        </w:rPr>
        <w:t>]</w:t>
      </w:r>
      <w:r w:rsidR="007126CE">
        <w:rPr>
          <w:rStyle w:val="EPMBracketChar"/>
        </w:rPr>
        <w:t xml:space="preserve"> </w:t>
      </w:r>
      <w:r w:rsidRPr="00C25477">
        <w:t xml:space="preserve">Redundancy Policy </w:t>
      </w:r>
      <w:r w:rsidR="00715ED6">
        <w:t xml:space="preserve">and Procedure </w:t>
      </w:r>
      <w:r w:rsidRPr="00C25477">
        <w:t>will be followed at the appropriate time.</w:t>
      </w:r>
    </w:p>
    <w:p w14:paraId="5A763339" w14:textId="4CE001BE" w:rsidR="001267E6" w:rsidRDefault="001267E6">
      <w:pPr>
        <w:rPr>
          <w:rFonts w:cs="Arial"/>
          <w:sz w:val="21"/>
          <w:szCs w:val="21"/>
        </w:rPr>
      </w:pPr>
      <w:r>
        <w:br w:type="page"/>
      </w:r>
    </w:p>
    <w:p w14:paraId="044536AD" w14:textId="77777777" w:rsidR="008A2CB9" w:rsidRDefault="008A2CB9" w:rsidP="008A2CB9">
      <w:pPr>
        <w:pStyle w:val="EPMNumberedHeading"/>
      </w:pPr>
      <w:r>
        <w:lastRenderedPageBreak/>
        <w:t xml:space="preserve">Scheme of Delegation </w:t>
      </w:r>
    </w:p>
    <w:p w14:paraId="6E4F3242" w14:textId="0162968C" w:rsidR="008A2CB9" w:rsidRPr="005A1596" w:rsidRDefault="008A2CB9" w:rsidP="005A1596">
      <w:pPr>
        <w:pStyle w:val="Numberedsubheading"/>
      </w:pPr>
      <w:r w:rsidRPr="005A1596">
        <w:t xml:space="preserve">Those responsible for managing organisational change will do so in accordance with the </w:t>
      </w:r>
      <w:r w:rsidR="005F6022" w:rsidRPr="00985868">
        <w:rPr>
          <w:rStyle w:val="EPMBracketChar"/>
        </w:rPr>
        <w:t>[Governing Body</w:t>
      </w:r>
      <w:r w:rsidR="006A310F">
        <w:rPr>
          <w:rStyle w:val="EPMBracketChar"/>
        </w:rPr>
        <w:t>’s</w:t>
      </w:r>
      <w:r w:rsidR="005F6022" w:rsidRPr="00985868">
        <w:rPr>
          <w:rStyle w:val="EPMBracketChar"/>
        </w:rPr>
        <w:t>/Trust</w:t>
      </w:r>
      <w:r w:rsidR="005F6022">
        <w:rPr>
          <w:rStyle w:val="EPMBracketChar"/>
        </w:rPr>
        <w:t>'s</w:t>
      </w:r>
      <w:r w:rsidR="005F6022" w:rsidRPr="00985868">
        <w:rPr>
          <w:rStyle w:val="EPMBracketChar"/>
        </w:rPr>
        <w:t>]</w:t>
      </w:r>
      <w:r w:rsidR="007126CE">
        <w:rPr>
          <w:rStyle w:val="EPMBracketChar"/>
        </w:rPr>
        <w:t xml:space="preserve"> </w:t>
      </w:r>
      <w:r w:rsidRPr="005A1596">
        <w:t xml:space="preserve">Scheme of Delegation. </w:t>
      </w:r>
    </w:p>
    <w:p w14:paraId="5EF1F1AF" w14:textId="071027A5" w:rsidR="00286454" w:rsidRDefault="00286454" w:rsidP="00286454">
      <w:pPr>
        <w:pStyle w:val="EPMNumberedHeading"/>
      </w:pPr>
      <w:r>
        <w:t xml:space="preserve">Equality and Equality Impact Assessment </w:t>
      </w:r>
    </w:p>
    <w:p w14:paraId="02D1B77F" w14:textId="57BC0F7E" w:rsidR="00286454" w:rsidRPr="00D37D25" w:rsidRDefault="00286454" w:rsidP="00D37D25">
      <w:pPr>
        <w:pStyle w:val="Numberedsubheading"/>
      </w:pPr>
      <w:r w:rsidRPr="00D37D25">
        <w:t xml:space="preserve">The </w:t>
      </w:r>
      <w:r w:rsidR="000F1C39" w:rsidRPr="00985868">
        <w:rPr>
          <w:rStyle w:val="EPMBracketChar"/>
        </w:rPr>
        <w:t>[</w:t>
      </w:r>
      <w:r w:rsidR="000F1C39">
        <w:rPr>
          <w:rStyle w:val="EPMBracketChar"/>
        </w:rPr>
        <w:t>School</w:t>
      </w:r>
      <w:r w:rsidR="000F1C39" w:rsidRPr="00985868">
        <w:rPr>
          <w:rStyle w:val="EPMBracketChar"/>
        </w:rPr>
        <w:t>/Trust]</w:t>
      </w:r>
      <w:r w:rsidR="007126CE">
        <w:rPr>
          <w:rStyle w:val="EPMBracketChar"/>
        </w:rPr>
        <w:t xml:space="preserve"> </w:t>
      </w:r>
      <w:r w:rsidRPr="00D37D25">
        <w:t xml:space="preserve">will manage organisational change in accordance with equalities legislation and reasonable adjustments will be considered where required. </w:t>
      </w:r>
    </w:p>
    <w:p w14:paraId="42792C59" w14:textId="78EA0949" w:rsidR="00286454" w:rsidRPr="00D37D25" w:rsidRDefault="00286454" w:rsidP="00D37D25">
      <w:pPr>
        <w:pStyle w:val="Numberedsubheading"/>
      </w:pPr>
      <w:r w:rsidRPr="00D37D25">
        <w:t xml:space="preserve">An Equality Impact Assessment (EIA) is not a legal requirement, however, will be automatically considered when organisational change is being planned and a determination made as to </w:t>
      </w:r>
      <w:proofErr w:type="gramStart"/>
      <w:r w:rsidRPr="00D37D25">
        <w:t>whether or not</w:t>
      </w:r>
      <w:proofErr w:type="gramEnd"/>
      <w:r w:rsidRPr="00D37D25">
        <w:t xml:space="preserve"> an initial assessment is sufficient or identifies the need for a full EIA. </w:t>
      </w:r>
    </w:p>
    <w:p w14:paraId="3DA7286D" w14:textId="250C7E04" w:rsidR="00286454" w:rsidRPr="00D37D25" w:rsidRDefault="00DB46A7" w:rsidP="00D37D25">
      <w:pPr>
        <w:pStyle w:val="Numberedsubheading"/>
      </w:pPr>
      <w:r>
        <w:t>An</w:t>
      </w:r>
      <w:r w:rsidR="00286454" w:rsidRPr="00D37D25">
        <w:t xml:space="preserve"> appropriate EIA will be followed, where one is deemed necessary.</w:t>
      </w:r>
    </w:p>
    <w:p w14:paraId="48AFC1C5" w14:textId="471D6E28" w:rsidR="00EE24FA" w:rsidRDefault="00286454" w:rsidP="00D37D25">
      <w:pPr>
        <w:pStyle w:val="Numberedsubheading"/>
      </w:pPr>
      <w:r w:rsidRPr="00D37D25">
        <w:t>When an EIA is undertaken, this will be included in the business case submission.</w:t>
      </w:r>
    </w:p>
    <w:p w14:paraId="5FA8406E" w14:textId="77777777" w:rsidR="00844588" w:rsidRDefault="00844588" w:rsidP="00844588">
      <w:pPr>
        <w:pStyle w:val="EPMNumberedHeading"/>
      </w:pPr>
      <w:r>
        <w:t xml:space="preserve">Planning </w:t>
      </w:r>
      <w:r w:rsidRPr="00844588">
        <w:t>Organisational</w:t>
      </w:r>
      <w:r>
        <w:t xml:space="preserve"> Change </w:t>
      </w:r>
    </w:p>
    <w:p w14:paraId="54BCB74B" w14:textId="25672CD5" w:rsidR="00844588" w:rsidRPr="00844588" w:rsidRDefault="00844588" w:rsidP="00844588">
      <w:pPr>
        <w:pStyle w:val="Numberedsubheading"/>
      </w:pPr>
      <w:r w:rsidRPr="00EE04D1">
        <w:t xml:space="preserve">Organisational change will be planned carefully and with consideration to the </w:t>
      </w:r>
      <w:r w:rsidR="00DB6D27" w:rsidRPr="00985868">
        <w:rPr>
          <w:rStyle w:val="EPMBracketChar"/>
        </w:rPr>
        <w:t>[</w:t>
      </w:r>
      <w:r w:rsidR="00DB6D27">
        <w:rPr>
          <w:rStyle w:val="EPMBracketChar"/>
        </w:rPr>
        <w:t>School</w:t>
      </w:r>
      <w:r w:rsidR="006A310F">
        <w:rPr>
          <w:rStyle w:val="EPMBracketChar"/>
        </w:rPr>
        <w:t>’s</w:t>
      </w:r>
      <w:r w:rsidR="00DB6D27" w:rsidRPr="00985868">
        <w:rPr>
          <w:rStyle w:val="EPMBracketChar"/>
        </w:rPr>
        <w:t>/Trust</w:t>
      </w:r>
      <w:r w:rsidR="00DB6D27">
        <w:rPr>
          <w:rStyle w:val="EPMBracketChar"/>
        </w:rPr>
        <w:t>'s</w:t>
      </w:r>
      <w:r w:rsidR="00DB6D27" w:rsidRPr="00985868">
        <w:rPr>
          <w:rStyle w:val="EPMBracketChar"/>
        </w:rPr>
        <w:t>]</w:t>
      </w:r>
      <w:r w:rsidR="008C279C">
        <w:rPr>
          <w:rStyle w:val="EPMBracketChar"/>
        </w:rPr>
        <w:t xml:space="preserve"> </w:t>
      </w:r>
      <w:r w:rsidRPr="00844588">
        <w:t xml:space="preserve">Improvement Plan and wider organisational strategy. </w:t>
      </w:r>
    </w:p>
    <w:p w14:paraId="66D09155" w14:textId="786FC0F9" w:rsidR="00844588" w:rsidRPr="00844588" w:rsidRDefault="00844588" w:rsidP="00844588">
      <w:pPr>
        <w:pStyle w:val="Numberedsubheading"/>
      </w:pPr>
      <w:r w:rsidRPr="00844588">
        <w:t>Consideration will be given as to whether the aims of the required change can be achieved without a staffing restructure, for example, through non-</w:t>
      </w:r>
      <w:r w:rsidR="00BF6426">
        <w:t>salary</w:t>
      </w:r>
      <w:r w:rsidRPr="00844588">
        <w:t xml:space="preserve"> related spend or a review of job descriptions and working practices. </w:t>
      </w:r>
    </w:p>
    <w:p w14:paraId="4F17D08B" w14:textId="29C3B033" w:rsidR="00844588" w:rsidRDefault="00844588" w:rsidP="005147A2">
      <w:pPr>
        <w:pStyle w:val="Numberedsubheading"/>
      </w:pPr>
      <w:r w:rsidRPr="00844588">
        <w:t>It is recognised that the financial situation, or other factors, may change at any stage of the organisational change</w:t>
      </w:r>
      <w:r w:rsidRPr="00EE04D1">
        <w:t xml:space="preserve"> process and any such changes will be responded to.</w:t>
      </w:r>
    </w:p>
    <w:p w14:paraId="381468D6" w14:textId="77777777" w:rsidR="005517A1" w:rsidRDefault="005517A1" w:rsidP="005517A1">
      <w:pPr>
        <w:pStyle w:val="EPMNumberedHeading"/>
      </w:pPr>
      <w:r w:rsidRPr="005517A1">
        <w:t>Business</w:t>
      </w:r>
      <w:r>
        <w:t xml:space="preserve"> Case </w:t>
      </w:r>
    </w:p>
    <w:p w14:paraId="0206A2A7" w14:textId="77777777" w:rsidR="005517A1" w:rsidRPr="00EE04D1" w:rsidRDefault="005517A1" w:rsidP="005517A1">
      <w:pPr>
        <w:pStyle w:val="Numberedsubheading"/>
        <w:rPr>
          <w:b/>
          <w:bCs/>
        </w:rPr>
      </w:pPr>
      <w:r w:rsidRPr="00EE04D1">
        <w:t xml:space="preserve">A business case will be produced, and this will detail the proposed organisational change. The business case proposal will include the following: </w:t>
      </w:r>
    </w:p>
    <w:p w14:paraId="539A8A07" w14:textId="2021A79A" w:rsidR="005517A1" w:rsidRPr="005517A1" w:rsidRDefault="005517A1" w:rsidP="005517A1">
      <w:pPr>
        <w:pStyle w:val="Numberedsubheading2"/>
      </w:pPr>
      <w:r w:rsidRPr="005517A1">
        <w:t>Rationale for change</w:t>
      </w:r>
      <w:r w:rsidR="00DB46A7">
        <w:t>.</w:t>
      </w:r>
      <w:r w:rsidRPr="005517A1">
        <w:t xml:space="preserve"> </w:t>
      </w:r>
    </w:p>
    <w:p w14:paraId="6AAE1293" w14:textId="38B6175A" w:rsidR="005517A1" w:rsidRPr="005517A1" w:rsidRDefault="005517A1" w:rsidP="005517A1">
      <w:pPr>
        <w:pStyle w:val="Numberedsubheading2"/>
      </w:pPr>
      <w:r w:rsidRPr="005517A1">
        <w:t>Current and proposed staffing structure (including job descriptions, person specifications and salary levels)</w:t>
      </w:r>
      <w:r w:rsidR="00DB46A7">
        <w:t>.</w:t>
      </w:r>
      <w:r w:rsidRPr="005517A1">
        <w:t xml:space="preserve"> </w:t>
      </w:r>
    </w:p>
    <w:p w14:paraId="330B6EB0" w14:textId="77777777" w:rsidR="005517A1" w:rsidRPr="005517A1" w:rsidRDefault="005517A1" w:rsidP="005517A1">
      <w:pPr>
        <w:pStyle w:val="Numberedsubheading2"/>
      </w:pPr>
      <w:r w:rsidRPr="005517A1">
        <w:t xml:space="preserve">Identification of new and changed posts. </w:t>
      </w:r>
    </w:p>
    <w:p w14:paraId="58A2353F" w14:textId="487E1061" w:rsidR="005517A1" w:rsidRPr="005517A1" w:rsidRDefault="005517A1" w:rsidP="005517A1">
      <w:pPr>
        <w:pStyle w:val="Numberedsubheading2"/>
      </w:pPr>
      <w:r w:rsidRPr="005517A1">
        <w:t>Implementation plan</w:t>
      </w:r>
      <w:r w:rsidR="00DB46A7">
        <w:t>,</w:t>
      </w:r>
      <w:r w:rsidRPr="005517A1">
        <w:t xml:space="preserve"> including slotting in arrangements </w:t>
      </w:r>
      <w:r w:rsidR="00DB46A7">
        <w:t xml:space="preserve">and/or </w:t>
      </w:r>
      <w:r w:rsidRPr="005517A1">
        <w:t>selection process</w:t>
      </w:r>
      <w:r w:rsidR="00DB46A7">
        <w:t xml:space="preserve"> as appropriate</w:t>
      </w:r>
      <w:r w:rsidRPr="005517A1">
        <w:t>.</w:t>
      </w:r>
    </w:p>
    <w:p w14:paraId="61E18D86" w14:textId="68D97F0A" w:rsidR="005517A1" w:rsidRPr="005517A1" w:rsidRDefault="005517A1" w:rsidP="005517A1">
      <w:pPr>
        <w:pStyle w:val="Numberedsubheading2"/>
      </w:pPr>
      <w:r w:rsidRPr="005517A1">
        <w:t>Timeline</w:t>
      </w:r>
      <w:r w:rsidR="00710527">
        <w:t xml:space="preserve"> including consultation period</w:t>
      </w:r>
      <w:r w:rsidR="009432A8">
        <w:t xml:space="preserve"> with employees and trade unions</w:t>
      </w:r>
      <w:r w:rsidR="00DB46A7">
        <w:t>.</w:t>
      </w:r>
      <w:r w:rsidRPr="005517A1">
        <w:t xml:space="preserve"> </w:t>
      </w:r>
    </w:p>
    <w:p w14:paraId="24FF2D24" w14:textId="58E73E51" w:rsidR="005517A1" w:rsidRPr="005517A1" w:rsidRDefault="005517A1" w:rsidP="005517A1">
      <w:pPr>
        <w:pStyle w:val="Numberedsubheading2"/>
      </w:pPr>
      <w:r w:rsidRPr="005517A1">
        <w:t>Any salary protection/safeguarding arrangements, as appropriate</w:t>
      </w:r>
      <w:r w:rsidR="00DB46A7">
        <w:t>.</w:t>
      </w:r>
    </w:p>
    <w:p w14:paraId="6C738149" w14:textId="77777777" w:rsidR="005517A1" w:rsidRPr="005517A1" w:rsidRDefault="005517A1" w:rsidP="005517A1">
      <w:pPr>
        <w:pStyle w:val="Numberedsubheading2"/>
      </w:pPr>
      <w:r w:rsidRPr="005517A1">
        <w:t xml:space="preserve">Appeals process, including specific grounds of appeal. </w:t>
      </w:r>
    </w:p>
    <w:p w14:paraId="2633CB1A" w14:textId="276C2F1E" w:rsidR="005517A1" w:rsidRPr="005517A1" w:rsidRDefault="005517A1" w:rsidP="005517A1">
      <w:pPr>
        <w:pStyle w:val="Numberedsubheading2"/>
      </w:pPr>
      <w:r w:rsidRPr="005517A1">
        <w:t>Equalities Impact Assessment consideration or detail, as appropriate</w:t>
      </w:r>
      <w:r w:rsidR="00DB46A7">
        <w:t>.</w:t>
      </w:r>
    </w:p>
    <w:p w14:paraId="534B696C" w14:textId="1F451484" w:rsidR="002A2023" w:rsidRDefault="002A2023">
      <w:pPr>
        <w:rPr>
          <w:rFonts w:ascii="Avenir Next LT Pro" w:hAnsi="Avenir Next LT Pro" w:cs="Arial"/>
          <w:sz w:val="21"/>
          <w:szCs w:val="20"/>
        </w:rPr>
      </w:pPr>
      <w:r>
        <w:br w:type="page"/>
      </w:r>
    </w:p>
    <w:p w14:paraId="6808273D" w14:textId="77777777" w:rsidR="00840F7C" w:rsidRPr="00840F7C" w:rsidRDefault="00840F7C" w:rsidP="00840F7C">
      <w:pPr>
        <w:pStyle w:val="Numberedsubheading"/>
      </w:pPr>
      <w:r w:rsidRPr="00840F7C">
        <w:lastRenderedPageBreak/>
        <w:t xml:space="preserve">The proposed new structure will be assessed for suitability and sustainability, particularly in terms of cost. </w:t>
      </w:r>
    </w:p>
    <w:p w14:paraId="1BD64FBD" w14:textId="77777777" w:rsidR="00840F7C" w:rsidRPr="00840F7C" w:rsidRDefault="00840F7C" w:rsidP="00840F7C">
      <w:pPr>
        <w:pStyle w:val="Numberedsubheading"/>
      </w:pPr>
      <w:r w:rsidRPr="00840F7C">
        <w:t xml:space="preserve">A job description and person specification will be created for new posts in the proposed structure. New roles should be assessed against the relevant job families/benchmarked or evaluated in line with the relevant job evaluation scheme, as appropriate.  </w:t>
      </w:r>
    </w:p>
    <w:p w14:paraId="07BDD3D0" w14:textId="51AB403A" w:rsidR="00840F7C" w:rsidRPr="00840F7C" w:rsidRDefault="00840F7C" w:rsidP="00840F7C">
      <w:pPr>
        <w:pStyle w:val="Numberedsubheading"/>
      </w:pPr>
      <w:r w:rsidRPr="00840F7C">
        <w:t xml:space="preserve">Where potential redundancies are identified, the </w:t>
      </w:r>
      <w:r w:rsidR="00110E30" w:rsidRPr="00985868">
        <w:rPr>
          <w:rStyle w:val="EPMBracketChar"/>
        </w:rPr>
        <w:t>[</w:t>
      </w:r>
      <w:r w:rsidR="00110E30">
        <w:rPr>
          <w:rStyle w:val="EPMBracketChar"/>
        </w:rPr>
        <w:t>School</w:t>
      </w:r>
      <w:r w:rsidR="00110E30" w:rsidRPr="00985868">
        <w:rPr>
          <w:rStyle w:val="EPMBracketChar"/>
        </w:rPr>
        <w:t>/Trust]</w:t>
      </w:r>
      <w:r w:rsidR="008C279C">
        <w:rPr>
          <w:rStyle w:val="EPMBracketChar"/>
        </w:rPr>
        <w:t xml:space="preserve"> </w:t>
      </w:r>
      <w:r w:rsidRPr="00840F7C">
        <w:t xml:space="preserve">will follow their Redundancy Policy and Procedure. </w:t>
      </w:r>
    </w:p>
    <w:p w14:paraId="18739759" w14:textId="0BC91661" w:rsidR="00840F7C" w:rsidRPr="00840F7C" w:rsidRDefault="00840F7C" w:rsidP="00840F7C">
      <w:pPr>
        <w:pStyle w:val="Numberedsubheading"/>
      </w:pPr>
      <w:r w:rsidRPr="00840F7C">
        <w:t xml:space="preserve">Formal approval will be gained on the proposals, in accordance with the </w:t>
      </w:r>
      <w:r w:rsidR="00D22151" w:rsidRPr="00985868">
        <w:rPr>
          <w:rStyle w:val="EPMBracketChar"/>
        </w:rPr>
        <w:t>[Governing Body</w:t>
      </w:r>
      <w:r w:rsidR="006A310F">
        <w:rPr>
          <w:rStyle w:val="EPMBracketChar"/>
        </w:rPr>
        <w:t>’s</w:t>
      </w:r>
      <w:r w:rsidR="00D22151" w:rsidRPr="00985868">
        <w:rPr>
          <w:rStyle w:val="EPMBracketChar"/>
        </w:rPr>
        <w:t>/Trust</w:t>
      </w:r>
      <w:r w:rsidR="00D22151">
        <w:rPr>
          <w:rStyle w:val="EPMBracketChar"/>
        </w:rPr>
        <w:t>'s</w:t>
      </w:r>
      <w:r w:rsidR="00D22151" w:rsidRPr="00985868">
        <w:rPr>
          <w:rStyle w:val="EPMBracketChar"/>
        </w:rPr>
        <w:t>]</w:t>
      </w:r>
      <w:r w:rsidR="008C279C">
        <w:rPr>
          <w:rStyle w:val="EPMBracketChar"/>
        </w:rPr>
        <w:t xml:space="preserve"> </w:t>
      </w:r>
      <w:r w:rsidRPr="00840F7C">
        <w:t xml:space="preserve">Scheme of Delegation, prior to the implementation of the organisational change. </w:t>
      </w:r>
    </w:p>
    <w:p w14:paraId="50309C8B" w14:textId="77777777" w:rsidR="00100CA4" w:rsidRDefault="00100CA4" w:rsidP="00100CA4">
      <w:pPr>
        <w:pStyle w:val="EPMNumberedHeading"/>
      </w:pPr>
      <w:r w:rsidRPr="00100CA4">
        <w:t>Implementation</w:t>
      </w:r>
      <w:r>
        <w:t xml:space="preserve"> </w:t>
      </w:r>
    </w:p>
    <w:p w14:paraId="73F27156" w14:textId="045F559C" w:rsidR="00100CA4" w:rsidRPr="00EE04D1" w:rsidRDefault="00100CA4" w:rsidP="00100CA4">
      <w:pPr>
        <w:pStyle w:val="Numberedsubheading"/>
        <w:rPr>
          <w:b/>
          <w:bCs/>
        </w:rPr>
      </w:pPr>
      <w:r w:rsidRPr="00EE04D1">
        <w:t xml:space="preserve">A period of </w:t>
      </w:r>
      <w:r w:rsidRPr="00357664">
        <w:rPr>
          <w:rStyle w:val="EPMBracketChar"/>
        </w:rPr>
        <w:t>[X days</w:t>
      </w:r>
      <w:r w:rsidR="00DB3769">
        <w:rPr>
          <w:rStyle w:val="EPMBracketChar"/>
        </w:rPr>
        <w:t xml:space="preserve"> – ensure consistency with your </w:t>
      </w:r>
      <w:r w:rsidR="00814221">
        <w:rPr>
          <w:rStyle w:val="EPMBracketChar"/>
        </w:rPr>
        <w:t>Redundancy Policy and Procedure</w:t>
      </w:r>
      <w:r w:rsidRPr="00357664">
        <w:rPr>
          <w:rStyle w:val="EPMBracketChar"/>
        </w:rPr>
        <w:t>]</w:t>
      </w:r>
      <w:r w:rsidRPr="00EE04D1">
        <w:t xml:space="preserve"> formal consultation will be held with employees directly affected by the organisational change and the recognised trade unions. </w:t>
      </w:r>
      <w:r w:rsidR="00EA7B46" w:rsidRPr="00EA7B46">
        <w:t>Where 20 or more redundancies are proposed at one establishment within 90 days, statutory consultation periods under TULRCA 1992 will be followed (i.e. 30 days for 20–99 employees, and 45 days for 100+).</w:t>
      </w:r>
    </w:p>
    <w:p w14:paraId="36F2DF36" w14:textId="77777777" w:rsidR="00100CA4" w:rsidRPr="00EE04D1" w:rsidRDefault="00100CA4" w:rsidP="00100CA4">
      <w:pPr>
        <w:pStyle w:val="Numberedsubheading"/>
        <w:rPr>
          <w:b/>
          <w:bCs/>
        </w:rPr>
      </w:pPr>
      <w:r w:rsidRPr="00EE04D1">
        <w:t xml:space="preserve">All contractual changes will be confirmed in writing with appropriate notice. </w:t>
      </w:r>
    </w:p>
    <w:p w14:paraId="1E69F4E8" w14:textId="77777777" w:rsidR="00100CA4" w:rsidRPr="00EE04D1" w:rsidRDefault="00100CA4" w:rsidP="00100CA4">
      <w:pPr>
        <w:pStyle w:val="Numberedsubheading"/>
        <w:rPr>
          <w:b/>
          <w:bCs/>
        </w:rPr>
      </w:pPr>
      <w:r w:rsidRPr="00EE04D1">
        <w:t xml:space="preserve">Training needs will be discussed with employees who have a change to their role </w:t>
      </w:r>
      <w:proofErr w:type="gramStart"/>
      <w:r w:rsidRPr="00EE04D1">
        <w:t>as a result of</w:t>
      </w:r>
      <w:proofErr w:type="gramEnd"/>
      <w:r w:rsidRPr="00EE04D1">
        <w:t xml:space="preserve"> the organisational change process. </w:t>
      </w:r>
    </w:p>
    <w:p w14:paraId="61E53D66" w14:textId="0E0B0477" w:rsidR="00100CA4" w:rsidRPr="00EE04D1" w:rsidRDefault="00100CA4" w:rsidP="00100CA4">
      <w:pPr>
        <w:pStyle w:val="Numberedsubheading"/>
        <w:rPr>
          <w:b/>
          <w:bCs/>
        </w:rPr>
      </w:pPr>
      <w:r w:rsidRPr="00EE04D1">
        <w:t xml:space="preserve">Any vacancies that arise during the organisational change process will be subject to normal recruitment procedures unless potential redundancies have been identified. Then the </w:t>
      </w:r>
      <w:r w:rsidR="00D4604C" w:rsidRPr="00985868">
        <w:rPr>
          <w:rStyle w:val="EPMBracketChar"/>
        </w:rPr>
        <w:t>[</w:t>
      </w:r>
      <w:r w:rsidR="00D4604C">
        <w:rPr>
          <w:rStyle w:val="EPMBracketChar"/>
        </w:rPr>
        <w:t>School</w:t>
      </w:r>
      <w:r w:rsidR="00D4604C" w:rsidRPr="00985868">
        <w:rPr>
          <w:rStyle w:val="EPMBracketChar"/>
        </w:rPr>
        <w:t>/Trust]</w:t>
      </w:r>
      <w:r w:rsidR="00D4604C" w:rsidRPr="00985868">
        <w:t xml:space="preserve"> </w:t>
      </w:r>
      <w:r w:rsidRPr="00EE04D1">
        <w:t xml:space="preserve">will follow the provisions set out in their Redundancy Policy </w:t>
      </w:r>
      <w:r w:rsidR="00D4604C">
        <w:t xml:space="preserve">and Procedure </w:t>
      </w:r>
      <w:r w:rsidRPr="00EE04D1">
        <w:t>to recruit to the new structure.</w:t>
      </w:r>
    </w:p>
    <w:p w14:paraId="3830D190" w14:textId="77777777" w:rsidR="00A10EEF" w:rsidRPr="00A10EEF" w:rsidRDefault="00A10EEF" w:rsidP="00840F7C">
      <w:pPr>
        <w:pStyle w:val="EPMTextindent2"/>
        <w:ind w:left="0" w:firstLine="0"/>
      </w:pPr>
    </w:p>
    <w:sectPr w:rsidR="00A10EEF" w:rsidRPr="00A10EEF" w:rsidSect="00290623">
      <w:headerReference w:type="default" r:id="rId14"/>
      <w:footerReference w:type="default" r:id="rId15"/>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4232" w14:textId="77777777" w:rsidR="00714C93" w:rsidRDefault="00714C93" w:rsidP="002C1565">
      <w:r>
        <w:separator/>
      </w:r>
    </w:p>
  </w:endnote>
  <w:endnote w:type="continuationSeparator" w:id="0">
    <w:p w14:paraId="3FFDD18E" w14:textId="77777777" w:rsidR="00714C93" w:rsidRDefault="00714C93" w:rsidP="002C1565">
      <w:r>
        <w:continuationSeparator/>
      </w:r>
    </w:p>
  </w:endnote>
  <w:endnote w:type="continuationNotice" w:id="1">
    <w:p w14:paraId="174D054A" w14:textId="77777777" w:rsidR="00714C93" w:rsidRDefault="0071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20C80" w14:textId="77777777" w:rsidR="00714C93" w:rsidRDefault="00714C93" w:rsidP="002C1565">
      <w:r>
        <w:separator/>
      </w:r>
    </w:p>
  </w:footnote>
  <w:footnote w:type="continuationSeparator" w:id="0">
    <w:p w14:paraId="363AB61E" w14:textId="77777777" w:rsidR="00714C93" w:rsidRDefault="00714C93" w:rsidP="002C1565">
      <w:r>
        <w:continuationSeparator/>
      </w:r>
    </w:p>
  </w:footnote>
  <w:footnote w:type="continuationNotice" w:id="1">
    <w:p w14:paraId="3728A2EC" w14:textId="77777777" w:rsidR="00714C93" w:rsidRDefault="0071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E7FC" w14:textId="750FD2FD" w:rsidR="007934AF" w:rsidRPr="007934AF" w:rsidRDefault="007934AF" w:rsidP="0079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49BC"/>
    <w:multiLevelType w:val="multilevel"/>
    <w:tmpl w:val="41C82876"/>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rPr>
        <w:b w:val="0"/>
        <w:bCs w:val="0"/>
      </w:r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06001609">
    <w:abstractNumId w:val="10"/>
  </w:num>
  <w:num w:numId="2" w16cid:durableId="711030619">
    <w:abstractNumId w:val="4"/>
  </w:num>
  <w:num w:numId="3" w16cid:durableId="103813671">
    <w:abstractNumId w:val="12"/>
  </w:num>
  <w:num w:numId="4" w16cid:durableId="89013151">
    <w:abstractNumId w:val="3"/>
  </w:num>
  <w:num w:numId="5" w16cid:durableId="644162832">
    <w:abstractNumId w:val="11"/>
  </w:num>
  <w:num w:numId="6" w16cid:durableId="187183596">
    <w:abstractNumId w:val="1"/>
  </w:num>
  <w:num w:numId="7" w16cid:durableId="437262740">
    <w:abstractNumId w:val="14"/>
  </w:num>
  <w:num w:numId="8" w16cid:durableId="1341465054">
    <w:abstractNumId w:val="5"/>
  </w:num>
  <w:num w:numId="9" w16cid:durableId="1704594928">
    <w:abstractNumId w:val="2"/>
  </w:num>
  <w:num w:numId="10" w16cid:durableId="335232619">
    <w:abstractNumId w:val="9"/>
  </w:num>
  <w:num w:numId="11" w16cid:durableId="1631205653">
    <w:abstractNumId w:val="6"/>
  </w:num>
  <w:num w:numId="12" w16cid:durableId="1082607134">
    <w:abstractNumId w:val="0"/>
  </w:num>
  <w:num w:numId="13" w16cid:durableId="766342601">
    <w:abstractNumId w:val="8"/>
  </w:num>
  <w:num w:numId="14" w16cid:durableId="208037102">
    <w:abstractNumId w:val="0"/>
  </w:num>
  <w:num w:numId="15" w16cid:durableId="1002046233">
    <w:abstractNumId w:val="0"/>
  </w:num>
  <w:num w:numId="16" w16cid:durableId="1934700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4003520">
    <w:abstractNumId w:val="0"/>
  </w:num>
  <w:num w:numId="18" w16cid:durableId="2030251080">
    <w:abstractNumId w:val="13"/>
  </w:num>
  <w:num w:numId="19" w16cid:durableId="2119907222">
    <w:abstractNumId w:val="7"/>
  </w:num>
  <w:num w:numId="20" w16cid:durableId="2011173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86C85"/>
    <w:rsid w:val="000A68CD"/>
    <w:rsid w:val="000A69A2"/>
    <w:rsid w:val="000A7D76"/>
    <w:rsid w:val="000C3D4D"/>
    <w:rsid w:val="000D26FC"/>
    <w:rsid w:val="000E74DD"/>
    <w:rsid w:val="000E77C6"/>
    <w:rsid w:val="000F0751"/>
    <w:rsid w:val="000F1C39"/>
    <w:rsid w:val="0010096E"/>
    <w:rsid w:val="00100CA4"/>
    <w:rsid w:val="00105E6D"/>
    <w:rsid w:val="001071FF"/>
    <w:rsid w:val="00110E30"/>
    <w:rsid w:val="0012399B"/>
    <w:rsid w:val="001267E6"/>
    <w:rsid w:val="00135C92"/>
    <w:rsid w:val="00136437"/>
    <w:rsid w:val="001366AA"/>
    <w:rsid w:val="001372BA"/>
    <w:rsid w:val="00161F18"/>
    <w:rsid w:val="00170CC7"/>
    <w:rsid w:val="00176686"/>
    <w:rsid w:val="00177F73"/>
    <w:rsid w:val="0018763D"/>
    <w:rsid w:val="00194B7A"/>
    <w:rsid w:val="001A20D2"/>
    <w:rsid w:val="001A5F2B"/>
    <w:rsid w:val="001C0B5D"/>
    <w:rsid w:val="001C7B1E"/>
    <w:rsid w:val="001E6BFE"/>
    <w:rsid w:val="00202E5E"/>
    <w:rsid w:val="0020630D"/>
    <w:rsid w:val="00211462"/>
    <w:rsid w:val="002159A7"/>
    <w:rsid w:val="00233792"/>
    <w:rsid w:val="0023592D"/>
    <w:rsid w:val="00253F82"/>
    <w:rsid w:val="0026127B"/>
    <w:rsid w:val="00263880"/>
    <w:rsid w:val="00274850"/>
    <w:rsid w:val="0027798D"/>
    <w:rsid w:val="00277A10"/>
    <w:rsid w:val="00282254"/>
    <w:rsid w:val="00286454"/>
    <w:rsid w:val="00290623"/>
    <w:rsid w:val="00291385"/>
    <w:rsid w:val="00297E29"/>
    <w:rsid w:val="002A2023"/>
    <w:rsid w:val="002A5D5B"/>
    <w:rsid w:val="002B7AC8"/>
    <w:rsid w:val="002C1565"/>
    <w:rsid w:val="002C2AD6"/>
    <w:rsid w:val="002C3BE5"/>
    <w:rsid w:val="002D0CB0"/>
    <w:rsid w:val="002E77B7"/>
    <w:rsid w:val="002F6DED"/>
    <w:rsid w:val="00306F8F"/>
    <w:rsid w:val="00314F04"/>
    <w:rsid w:val="00316D3F"/>
    <w:rsid w:val="0033140E"/>
    <w:rsid w:val="003401BB"/>
    <w:rsid w:val="00343F61"/>
    <w:rsid w:val="00344388"/>
    <w:rsid w:val="00347ED8"/>
    <w:rsid w:val="00357664"/>
    <w:rsid w:val="00366CF6"/>
    <w:rsid w:val="00374A02"/>
    <w:rsid w:val="00375C37"/>
    <w:rsid w:val="00383DA9"/>
    <w:rsid w:val="003852C4"/>
    <w:rsid w:val="00396B40"/>
    <w:rsid w:val="003A0B26"/>
    <w:rsid w:val="003A4244"/>
    <w:rsid w:val="003B0246"/>
    <w:rsid w:val="003B488D"/>
    <w:rsid w:val="003C3E17"/>
    <w:rsid w:val="003C4578"/>
    <w:rsid w:val="003C4F32"/>
    <w:rsid w:val="003D1F26"/>
    <w:rsid w:val="003E3987"/>
    <w:rsid w:val="003E5727"/>
    <w:rsid w:val="003E6B07"/>
    <w:rsid w:val="003F555F"/>
    <w:rsid w:val="003F74E6"/>
    <w:rsid w:val="0040493A"/>
    <w:rsid w:val="0041342B"/>
    <w:rsid w:val="00414EEA"/>
    <w:rsid w:val="0042005C"/>
    <w:rsid w:val="00421226"/>
    <w:rsid w:val="00422FCB"/>
    <w:rsid w:val="00432C7B"/>
    <w:rsid w:val="00436A9B"/>
    <w:rsid w:val="00436BCB"/>
    <w:rsid w:val="00440E43"/>
    <w:rsid w:val="00450A63"/>
    <w:rsid w:val="004651D2"/>
    <w:rsid w:val="004660AA"/>
    <w:rsid w:val="00474C02"/>
    <w:rsid w:val="004A09F4"/>
    <w:rsid w:val="004B06D6"/>
    <w:rsid w:val="004E23E5"/>
    <w:rsid w:val="004E7180"/>
    <w:rsid w:val="00500552"/>
    <w:rsid w:val="00506A52"/>
    <w:rsid w:val="005074CF"/>
    <w:rsid w:val="00512C09"/>
    <w:rsid w:val="005147A2"/>
    <w:rsid w:val="005218C7"/>
    <w:rsid w:val="00547D8D"/>
    <w:rsid w:val="005517A1"/>
    <w:rsid w:val="00556E67"/>
    <w:rsid w:val="0055777F"/>
    <w:rsid w:val="00561013"/>
    <w:rsid w:val="005646F4"/>
    <w:rsid w:val="00566160"/>
    <w:rsid w:val="00586592"/>
    <w:rsid w:val="005A00E0"/>
    <w:rsid w:val="005A1596"/>
    <w:rsid w:val="005B5E37"/>
    <w:rsid w:val="005C1884"/>
    <w:rsid w:val="005C35A4"/>
    <w:rsid w:val="005D1ED7"/>
    <w:rsid w:val="005F48DA"/>
    <w:rsid w:val="005F4A9C"/>
    <w:rsid w:val="005F6022"/>
    <w:rsid w:val="00602503"/>
    <w:rsid w:val="00604313"/>
    <w:rsid w:val="00606CBC"/>
    <w:rsid w:val="006100ED"/>
    <w:rsid w:val="00614DF1"/>
    <w:rsid w:val="00642B63"/>
    <w:rsid w:val="00643ACD"/>
    <w:rsid w:val="00655FA4"/>
    <w:rsid w:val="006635F4"/>
    <w:rsid w:val="00666C8A"/>
    <w:rsid w:val="0067186A"/>
    <w:rsid w:val="0067306B"/>
    <w:rsid w:val="00681551"/>
    <w:rsid w:val="006822DD"/>
    <w:rsid w:val="00693673"/>
    <w:rsid w:val="006A2267"/>
    <w:rsid w:val="006A310F"/>
    <w:rsid w:val="006A5EB9"/>
    <w:rsid w:val="006B152B"/>
    <w:rsid w:val="006B21DC"/>
    <w:rsid w:val="006D1117"/>
    <w:rsid w:val="006D3FD2"/>
    <w:rsid w:val="006E070E"/>
    <w:rsid w:val="00710527"/>
    <w:rsid w:val="007126CE"/>
    <w:rsid w:val="00714C93"/>
    <w:rsid w:val="00715684"/>
    <w:rsid w:val="00715ED6"/>
    <w:rsid w:val="007174A0"/>
    <w:rsid w:val="00744158"/>
    <w:rsid w:val="007573AD"/>
    <w:rsid w:val="00766210"/>
    <w:rsid w:val="00773F3C"/>
    <w:rsid w:val="0077514E"/>
    <w:rsid w:val="00776B19"/>
    <w:rsid w:val="00782476"/>
    <w:rsid w:val="007934AF"/>
    <w:rsid w:val="007B14AC"/>
    <w:rsid w:val="007B1CB2"/>
    <w:rsid w:val="007C3693"/>
    <w:rsid w:val="007C72DD"/>
    <w:rsid w:val="007D11DC"/>
    <w:rsid w:val="007D4D29"/>
    <w:rsid w:val="007E2FF9"/>
    <w:rsid w:val="007E43E0"/>
    <w:rsid w:val="007E777D"/>
    <w:rsid w:val="008078DF"/>
    <w:rsid w:val="00810758"/>
    <w:rsid w:val="00814221"/>
    <w:rsid w:val="008379A5"/>
    <w:rsid w:val="00840F7C"/>
    <w:rsid w:val="008414A4"/>
    <w:rsid w:val="00844588"/>
    <w:rsid w:val="008535B3"/>
    <w:rsid w:val="008546C6"/>
    <w:rsid w:val="00854B92"/>
    <w:rsid w:val="008566A6"/>
    <w:rsid w:val="00871BB4"/>
    <w:rsid w:val="00876676"/>
    <w:rsid w:val="00884B6B"/>
    <w:rsid w:val="00895306"/>
    <w:rsid w:val="00897ED5"/>
    <w:rsid w:val="008A2CB9"/>
    <w:rsid w:val="008B3B7E"/>
    <w:rsid w:val="008C1071"/>
    <w:rsid w:val="008C279C"/>
    <w:rsid w:val="008C3D8B"/>
    <w:rsid w:val="008D27A6"/>
    <w:rsid w:val="008E40A1"/>
    <w:rsid w:val="008F524E"/>
    <w:rsid w:val="00900C4E"/>
    <w:rsid w:val="009024E9"/>
    <w:rsid w:val="009043C3"/>
    <w:rsid w:val="00931AF6"/>
    <w:rsid w:val="009432A8"/>
    <w:rsid w:val="00945C3A"/>
    <w:rsid w:val="00950EF6"/>
    <w:rsid w:val="00956AAE"/>
    <w:rsid w:val="009609E2"/>
    <w:rsid w:val="0096257B"/>
    <w:rsid w:val="00975D06"/>
    <w:rsid w:val="0099024B"/>
    <w:rsid w:val="00993476"/>
    <w:rsid w:val="00993A49"/>
    <w:rsid w:val="009A218D"/>
    <w:rsid w:val="009B2A9D"/>
    <w:rsid w:val="009B4EF2"/>
    <w:rsid w:val="009C2A51"/>
    <w:rsid w:val="009C72CF"/>
    <w:rsid w:val="009C72ED"/>
    <w:rsid w:val="009D79E8"/>
    <w:rsid w:val="009F46DB"/>
    <w:rsid w:val="009F6988"/>
    <w:rsid w:val="00A01F7C"/>
    <w:rsid w:val="00A10EEF"/>
    <w:rsid w:val="00A24DEE"/>
    <w:rsid w:val="00A31C48"/>
    <w:rsid w:val="00A43BDD"/>
    <w:rsid w:val="00A45D24"/>
    <w:rsid w:val="00A56814"/>
    <w:rsid w:val="00A70CE0"/>
    <w:rsid w:val="00A7502D"/>
    <w:rsid w:val="00A85732"/>
    <w:rsid w:val="00A905D0"/>
    <w:rsid w:val="00A95898"/>
    <w:rsid w:val="00A97C4C"/>
    <w:rsid w:val="00AA081B"/>
    <w:rsid w:val="00AA5AB6"/>
    <w:rsid w:val="00AA7CC0"/>
    <w:rsid w:val="00AB3286"/>
    <w:rsid w:val="00AB59B6"/>
    <w:rsid w:val="00AC7014"/>
    <w:rsid w:val="00AD0BA0"/>
    <w:rsid w:val="00AD0DE2"/>
    <w:rsid w:val="00AE2D2C"/>
    <w:rsid w:val="00AE3375"/>
    <w:rsid w:val="00AE371E"/>
    <w:rsid w:val="00AE53F7"/>
    <w:rsid w:val="00AE6E21"/>
    <w:rsid w:val="00AF40EF"/>
    <w:rsid w:val="00B03004"/>
    <w:rsid w:val="00B031AA"/>
    <w:rsid w:val="00B0644B"/>
    <w:rsid w:val="00B16C6E"/>
    <w:rsid w:val="00B217E1"/>
    <w:rsid w:val="00B31D09"/>
    <w:rsid w:val="00B43F95"/>
    <w:rsid w:val="00B52014"/>
    <w:rsid w:val="00B56C3C"/>
    <w:rsid w:val="00B66E73"/>
    <w:rsid w:val="00B76064"/>
    <w:rsid w:val="00B82F82"/>
    <w:rsid w:val="00B96AC6"/>
    <w:rsid w:val="00BA310B"/>
    <w:rsid w:val="00BC7D74"/>
    <w:rsid w:val="00BD195D"/>
    <w:rsid w:val="00BD2006"/>
    <w:rsid w:val="00BF093F"/>
    <w:rsid w:val="00BF5C2B"/>
    <w:rsid w:val="00BF6426"/>
    <w:rsid w:val="00C1776C"/>
    <w:rsid w:val="00C25477"/>
    <w:rsid w:val="00C70BD6"/>
    <w:rsid w:val="00C714D8"/>
    <w:rsid w:val="00C7273B"/>
    <w:rsid w:val="00C72AEC"/>
    <w:rsid w:val="00C76AFF"/>
    <w:rsid w:val="00C90711"/>
    <w:rsid w:val="00C91E4C"/>
    <w:rsid w:val="00C92092"/>
    <w:rsid w:val="00C9409C"/>
    <w:rsid w:val="00CA6DA8"/>
    <w:rsid w:val="00CC0187"/>
    <w:rsid w:val="00CC3513"/>
    <w:rsid w:val="00CC368F"/>
    <w:rsid w:val="00CD2F0D"/>
    <w:rsid w:val="00CD5603"/>
    <w:rsid w:val="00CE0AB2"/>
    <w:rsid w:val="00CE3DA9"/>
    <w:rsid w:val="00CE57D7"/>
    <w:rsid w:val="00CE7F25"/>
    <w:rsid w:val="00CF6D6E"/>
    <w:rsid w:val="00D038C2"/>
    <w:rsid w:val="00D07A72"/>
    <w:rsid w:val="00D17CC1"/>
    <w:rsid w:val="00D22151"/>
    <w:rsid w:val="00D26048"/>
    <w:rsid w:val="00D31B75"/>
    <w:rsid w:val="00D37D25"/>
    <w:rsid w:val="00D4604C"/>
    <w:rsid w:val="00D55A17"/>
    <w:rsid w:val="00D70D35"/>
    <w:rsid w:val="00D96BEF"/>
    <w:rsid w:val="00DA7034"/>
    <w:rsid w:val="00DB3769"/>
    <w:rsid w:val="00DB46A7"/>
    <w:rsid w:val="00DB6D27"/>
    <w:rsid w:val="00DC34A0"/>
    <w:rsid w:val="00DC4A06"/>
    <w:rsid w:val="00DE5586"/>
    <w:rsid w:val="00DF7A1F"/>
    <w:rsid w:val="00E05C82"/>
    <w:rsid w:val="00E201D2"/>
    <w:rsid w:val="00E2397A"/>
    <w:rsid w:val="00E40C60"/>
    <w:rsid w:val="00E43C78"/>
    <w:rsid w:val="00E50360"/>
    <w:rsid w:val="00E5165C"/>
    <w:rsid w:val="00E81934"/>
    <w:rsid w:val="00E908BE"/>
    <w:rsid w:val="00E92460"/>
    <w:rsid w:val="00E955FF"/>
    <w:rsid w:val="00EA7B46"/>
    <w:rsid w:val="00EB20E8"/>
    <w:rsid w:val="00EC26CF"/>
    <w:rsid w:val="00EC36C4"/>
    <w:rsid w:val="00EC3DA6"/>
    <w:rsid w:val="00EC4366"/>
    <w:rsid w:val="00ED1D4E"/>
    <w:rsid w:val="00EE24FA"/>
    <w:rsid w:val="00EF68C6"/>
    <w:rsid w:val="00F00E5A"/>
    <w:rsid w:val="00F046AC"/>
    <w:rsid w:val="00F103D2"/>
    <w:rsid w:val="00F10C5F"/>
    <w:rsid w:val="00F13DD1"/>
    <w:rsid w:val="00F17EA3"/>
    <w:rsid w:val="00F30DD3"/>
    <w:rsid w:val="00F3311D"/>
    <w:rsid w:val="00F44082"/>
    <w:rsid w:val="00F51696"/>
    <w:rsid w:val="00F54650"/>
    <w:rsid w:val="00F560D0"/>
    <w:rsid w:val="00F66A35"/>
    <w:rsid w:val="00F80439"/>
    <w:rsid w:val="00F84BE2"/>
    <w:rsid w:val="00FB08C8"/>
    <w:rsid w:val="00FC28EB"/>
    <w:rsid w:val="00FC64D7"/>
    <w:rsid w:val="00FE292D"/>
    <w:rsid w:val="29BA4509"/>
    <w:rsid w:val="3E2779B4"/>
    <w:rsid w:val="4EBDBA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EC4366"/>
    <w:pPr>
      <w:numPr>
        <w:numId w:val="12"/>
      </w:numPr>
      <w:spacing w:before="360"/>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qFormat/>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6635F4"/>
    <w:pPr>
      <w:numPr>
        <w:ilvl w:val="1"/>
        <w:numId w:val="12"/>
      </w:numPr>
      <w:ind w:left="1418" w:hanging="709"/>
    </w:pPr>
    <w:rPr>
      <w:b w:val="0"/>
      <w:bCs w:val="0"/>
      <w:sz w:val="21"/>
      <w:szCs w:val="21"/>
    </w:rPr>
  </w:style>
  <w:style w:type="paragraph" w:customStyle="1" w:styleId="Numberedsubheading2">
    <w:name w:val="Numbered subheading 2"/>
    <w:basedOn w:val="EPMSubheading"/>
    <w:next w:val="EPMTextindent3"/>
    <w:link w:val="Numberedsubheading2Char"/>
    <w:qFormat/>
    <w:rsid w:val="005517A1"/>
    <w:pPr>
      <w:numPr>
        <w:ilvl w:val="2"/>
        <w:numId w:val="12"/>
      </w:numPr>
      <w:ind w:left="2127" w:hanging="709"/>
    </w:pPr>
    <w:rPr>
      <w:b w:val="0"/>
      <w:bCs w:val="0"/>
      <w:sz w:val="21"/>
      <w:szCs w:val="21"/>
    </w:rPr>
  </w:style>
  <w:style w:type="character" w:customStyle="1" w:styleId="NumberedsubheadingChar">
    <w:name w:val="Numbered subheading Char"/>
    <w:basedOn w:val="EPMSubheadingChar"/>
    <w:link w:val="Numberedsubheading"/>
    <w:rsid w:val="006635F4"/>
    <w:rPr>
      <w:rFonts w:ascii="Arial" w:hAnsi="Arial" w:cs="Arial"/>
      <w:b w:val="0"/>
      <w:bCs w:val="0"/>
      <w:sz w:val="21"/>
      <w:szCs w:val="21"/>
    </w:rPr>
  </w:style>
  <w:style w:type="character" w:customStyle="1" w:styleId="Numberedsubheading2Char">
    <w:name w:val="Numbered subheading 2 Char"/>
    <w:basedOn w:val="EPMSubheadingChar"/>
    <w:link w:val="Numberedsubheading2"/>
    <w:rsid w:val="005517A1"/>
    <w:rPr>
      <w:rFonts w:ascii="Arial" w:hAnsi="Arial" w:cs="Arial"/>
      <w:b w:val="0"/>
      <w:bCs w:val="0"/>
      <w:sz w:val="21"/>
      <w:szCs w:val="21"/>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styleId="Revision">
    <w:name w:val="Revision"/>
    <w:hidden/>
    <w:uiPriority w:val="99"/>
    <w:semiHidden/>
    <w:rsid w:val="00AD0BA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7" ma:contentTypeDescription="Create a new document." ma:contentTypeScope="" ma:versionID="7e2898865fd483cffff0c64222f099f0">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6a11a131aea56af53cadb16cba4c3997"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3.xml><?xml version="1.0" encoding="utf-8"?>
<ds:datastoreItem xmlns:ds="http://schemas.openxmlformats.org/officeDocument/2006/customXml" ds:itemID="{C37FF197-B5E3-4849-AE06-E4CD1935B2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891</Words>
  <Characters>5085</Characters>
  <Application>Microsoft Office Word</Application>
  <DocSecurity>0</DocSecurity>
  <Lines>42</Lines>
  <Paragraphs>11</Paragraphs>
  <ScaleCrop>false</ScaleCrop>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Ailsa Calverley</cp:lastModifiedBy>
  <cp:revision>12</cp:revision>
  <dcterms:created xsi:type="dcterms:W3CDTF">2025-06-24T14:08:00Z</dcterms:created>
  <dcterms:modified xsi:type="dcterms:W3CDTF">2025-07-15T12:44:00Z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