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CCA4" w14:textId="4A455ACD" w:rsidR="00AE70C0" w:rsidRDefault="00AE70C0" w:rsidP="00DE30A3">
      <w:pPr>
        <w:pStyle w:val="EPMPageHeading"/>
      </w:pPr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61B93FBD">
            <wp:simplePos x="0" y="0"/>
            <wp:positionH relativeFrom="margin">
              <wp:align>right</wp:align>
            </wp:positionH>
            <wp:positionV relativeFrom="paragraph">
              <wp:posOffset>-712806</wp:posOffset>
            </wp:positionV>
            <wp:extent cx="1435100" cy="710952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0C0">
        <w:t>Glossary of Key Terms</w:t>
      </w:r>
    </w:p>
    <w:tbl>
      <w:tblPr>
        <w:tblStyle w:val="EPMTableStyle"/>
        <w:tblW w:w="0" w:type="auto"/>
        <w:tblLook w:val="04A0" w:firstRow="1" w:lastRow="0" w:firstColumn="1" w:lastColumn="0" w:noHBand="0" w:noVBand="1"/>
      </w:tblPr>
      <w:tblGrid>
        <w:gridCol w:w="3212"/>
        <w:gridCol w:w="6426"/>
      </w:tblGrid>
      <w:tr w:rsidR="00F97827" w:rsidRPr="0099024B" w14:paraId="2B30139B" w14:textId="77777777" w:rsidTr="37E83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12" w:type="dxa"/>
            <w:tcBorders>
              <w:bottom w:val="single" w:sz="4" w:space="0" w:color="242E55"/>
            </w:tcBorders>
            <w:shd w:val="clear" w:color="auto" w:fill="242E54"/>
          </w:tcPr>
          <w:p w14:paraId="0C8FC67A" w14:textId="225D96AF" w:rsidR="00F97827" w:rsidRPr="00DE30A3" w:rsidRDefault="0FD3C089" w:rsidP="00F97827">
            <w:pPr>
              <w:pStyle w:val="EPMTableHeading"/>
            </w:pPr>
            <w:r>
              <w:t>Term</w:t>
            </w:r>
          </w:p>
        </w:tc>
        <w:tc>
          <w:tcPr>
            <w:tcW w:w="6426" w:type="dxa"/>
            <w:tcBorders>
              <w:bottom w:val="single" w:sz="4" w:space="0" w:color="242E55"/>
            </w:tcBorders>
            <w:shd w:val="clear" w:color="auto" w:fill="242E54"/>
          </w:tcPr>
          <w:p w14:paraId="4CD89099" w14:textId="581F1927" w:rsidR="00F97827" w:rsidRPr="00DE30A3" w:rsidRDefault="0FD3C089" w:rsidP="37E83063">
            <w:pPr>
              <w:pStyle w:val="EPMTableHeading"/>
              <w:rPr>
                <w:b/>
                <w:bCs/>
              </w:rPr>
            </w:pPr>
            <w:r w:rsidRPr="37E83063">
              <w:rPr>
                <w:b/>
                <w:bCs/>
              </w:rPr>
              <w:t>Definitions</w:t>
            </w:r>
          </w:p>
        </w:tc>
      </w:tr>
      <w:tr w:rsidR="00F97827" w:rsidRPr="0099024B" w14:paraId="2200082C" w14:textId="77777777" w:rsidTr="00CF703F">
        <w:trPr>
          <w:trHeight w:val="441"/>
        </w:trPr>
        <w:tc>
          <w:tcPr>
            <w:tcW w:w="3212" w:type="dxa"/>
            <w:tcBorders>
              <w:top w:val="single" w:sz="4" w:space="0" w:color="242E55"/>
              <w:bottom w:val="single" w:sz="4" w:space="0" w:color="9FAAC4"/>
              <w:right w:val="single" w:sz="4" w:space="0" w:color="9FAAC4"/>
            </w:tcBorders>
          </w:tcPr>
          <w:p w14:paraId="6E6CD981" w14:textId="5726B711" w:rsidR="00F97827" w:rsidRPr="00F97827" w:rsidRDefault="18105FB5" w:rsidP="00F97827">
            <w:pPr>
              <w:pStyle w:val="EPMTableHeading"/>
            </w:pPr>
            <w:r w:rsidRPr="37E83063">
              <w:rPr>
                <w:color w:val="auto"/>
              </w:rPr>
              <w:t xml:space="preserve">UK </w:t>
            </w:r>
            <w:r w:rsidR="00F97827" w:rsidRPr="37E83063">
              <w:rPr>
                <w:color w:val="auto"/>
              </w:rPr>
              <w:t>GDPR</w:t>
            </w:r>
          </w:p>
        </w:tc>
        <w:tc>
          <w:tcPr>
            <w:tcW w:w="6426" w:type="dxa"/>
            <w:tcBorders>
              <w:top w:val="single" w:sz="4" w:space="0" w:color="242E55"/>
              <w:left w:val="single" w:sz="4" w:space="0" w:color="9FAAC4"/>
              <w:bottom w:val="single" w:sz="4" w:space="0" w:color="9FAAC4"/>
            </w:tcBorders>
          </w:tcPr>
          <w:p w14:paraId="34AB12E1" w14:textId="3E9035A3" w:rsidR="00F97827" w:rsidRPr="00F97827" w:rsidRDefault="494595D5" w:rsidP="007C1295">
            <w:pPr>
              <w:pStyle w:val="EPMTextstyle"/>
              <w:spacing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UK </w:t>
            </w:r>
            <w:r w:rsidR="00F97827">
              <w:rPr>
                <w:b w:val="0"/>
                <w:bCs w:val="0"/>
              </w:rPr>
              <w:t>General Data Protection Regulation</w:t>
            </w:r>
          </w:p>
        </w:tc>
      </w:tr>
      <w:tr w:rsidR="00F97827" w:rsidRPr="0099024B" w14:paraId="554F39B3" w14:textId="77777777" w:rsidTr="00CF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12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auto"/>
          </w:tcPr>
          <w:p w14:paraId="76464FEE" w14:textId="6616C09E" w:rsidR="00F97827" w:rsidRPr="009F6988" w:rsidRDefault="00F97827" w:rsidP="00F97827">
            <w:pPr>
              <w:pStyle w:val="EPMTableHeading"/>
              <w:rPr>
                <w:b/>
              </w:rPr>
            </w:pPr>
            <w:r w:rsidRPr="00F97827">
              <w:rPr>
                <w:color w:val="auto"/>
              </w:rPr>
              <w:t>DPA</w:t>
            </w: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</w:tcBorders>
            <w:shd w:val="clear" w:color="auto" w:fill="auto"/>
          </w:tcPr>
          <w:p w14:paraId="6A80411F" w14:textId="51B0528E" w:rsidR="00F97827" w:rsidRPr="00F97827" w:rsidRDefault="00F97827" w:rsidP="00F97827">
            <w:pPr>
              <w:pStyle w:val="EPMTextstyle"/>
              <w:spacing w:after="60"/>
              <w:rPr>
                <w:b w:val="0"/>
                <w:bCs w:val="0"/>
              </w:rPr>
            </w:pPr>
            <w:r w:rsidRPr="00F97827">
              <w:rPr>
                <w:b w:val="0"/>
                <w:bCs w:val="0"/>
              </w:rPr>
              <w:t>Data Protection Act 2018</w:t>
            </w:r>
          </w:p>
        </w:tc>
      </w:tr>
      <w:tr w:rsidR="00F97827" w:rsidRPr="0099024B" w14:paraId="492932ED" w14:textId="77777777" w:rsidTr="00CF703F">
        <w:tc>
          <w:tcPr>
            <w:tcW w:w="3212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</w:tcPr>
          <w:p w14:paraId="50D1E25D" w14:textId="7B39E05A" w:rsidR="00EB2EEB" w:rsidRPr="00EB2EEB" w:rsidRDefault="00EB2EEB" w:rsidP="00EB2EEB">
            <w:pPr>
              <w:pStyle w:val="EPMTableHeading"/>
              <w:spacing w:before="480" w:after="120"/>
              <w:rPr>
                <w:b/>
                <w:color w:val="auto"/>
              </w:rPr>
            </w:pPr>
            <w:r w:rsidRPr="00EB2EEB">
              <w:rPr>
                <w:color w:val="auto"/>
              </w:rPr>
              <w:t>ICO</w:t>
            </w:r>
          </w:p>
          <w:p w14:paraId="5B656709" w14:textId="1EE5F469" w:rsidR="00EB2EEB" w:rsidRPr="009F6988" w:rsidRDefault="00EB2EEB" w:rsidP="00F97827">
            <w:pPr>
              <w:rPr>
                <w:rFonts w:cs="Arial"/>
                <w:b w:val="0"/>
                <w:bCs/>
                <w:sz w:val="21"/>
                <w:szCs w:val="21"/>
              </w:rPr>
            </w:pP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</w:tcBorders>
          </w:tcPr>
          <w:p w14:paraId="26BEE87B" w14:textId="77777777" w:rsidR="00F97827" w:rsidRPr="00F97827" w:rsidRDefault="00F97827" w:rsidP="007C1295">
            <w:pPr>
              <w:pStyle w:val="EPMTextstyle"/>
              <w:spacing w:afterLines="60" w:after="144"/>
            </w:pPr>
            <w:r w:rsidRPr="00F97827">
              <w:t xml:space="preserve">The Information Commissioner’s Office: the UK authority responsible for the protection of personal data and privacy. </w:t>
            </w:r>
          </w:p>
          <w:p w14:paraId="054BD4A3" w14:textId="04E97F38" w:rsidR="00F97827" w:rsidRPr="00F97827" w:rsidRDefault="00F97827" w:rsidP="007C1295">
            <w:pPr>
              <w:pStyle w:val="EPMTextstyle"/>
              <w:spacing w:afterLines="60" w:after="144"/>
              <w:rPr>
                <w:b w:val="0"/>
                <w:bCs w:val="0"/>
              </w:rPr>
            </w:pPr>
            <w:r w:rsidRPr="00F97827">
              <w:rPr>
                <w:b w:val="0"/>
                <w:bCs w:val="0"/>
              </w:rPr>
              <w:t>The ICO is the UK’s supervisory authority for GDPR purposes.</w:t>
            </w:r>
          </w:p>
        </w:tc>
      </w:tr>
      <w:tr w:rsidR="00F97827" w:rsidRPr="0099024B" w14:paraId="041ACD4C" w14:textId="77777777" w:rsidTr="00CF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12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auto"/>
          </w:tcPr>
          <w:p w14:paraId="6FF522F1" w14:textId="0532F8E2" w:rsidR="00F97827" w:rsidRPr="00EB2EEB" w:rsidRDefault="00EB2EEB" w:rsidP="00EB2EEB">
            <w:pPr>
              <w:pStyle w:val="EPMTableHeading"/>
              <w:spacing w:before="480"/>
            </w:pPr>
            <w:r w:rsidRPr="00EB2EEB">
              <w:rPr>
                <w:color w:val="auto"/>
              </w:rPr>
              <w:t>Data controller</w:t>
            </w: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</w:tcBorders>
            <w:shd w:val="clear" w:color="auto" w:fill="auto"/>
          </w:tcPr>
          <w:p w14:paraId="1CDE4CF3" w14:textId="77777777" w:rsidR="00EB2EEB" w:rsidRPr="00EB2EEB" w:rsidRDefault="00EB2EEB" w:rsidP="007C1295">
            <w:pPr>
              <w:pStyle w:val="EPMTextstyle"/>
              <w:spacing w:after="60"/>
            </w:pPr>
            <w:r w:rsidRPr="00EB2EEB">
              <w:t xml:space="preserve">The individual/s who determine how and why personal data is processed. </w:t>
            </w:r>
          </w:p>
          <w:p w14:paraId="2A4A6BEB" w14:textId="173AD0D5" w:rsidR="00F97827" w:rsidRPr="00EB2EEB" w:rsidRDefault="00EB2EEB" w:rsidP="007C1295">
            <w:pPr>
              <w:pStyle w:val="EPMTextstyle"/>
              <w:spacing w:after="60"/>
              <w:rPr>
                <w:b w:val="0"/>
                <w:bCs w:val="0"/>
              </w:rPr>
            </w:pPr>
            <w:r w:rsidRPr="00EB2EEB">
              <w:rPr>
                <w:b w:val="0"/>
                <w:bCs w:val="0"/>
              </w:rPr>
              <w:t>An organisation with employees will normally be a data controller.</w:t>
            </w:r>
          </w:p>
        </w:tc>
      </w:tr>
      <w:tr w:rsidR="00EB2EEB" w:rsidRPr="0099024B" w14:paraId="33D7FD8D" w14:textId="77777777" w:rsidTr="00CF703F">
        <w:tc>
          <w:tcPr>
            <w:tcW w:w="3212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</w:tcPr>
          <w:p w14:paraId="13AE670E" w14:textId="56ABF2AD" w:rsidR="00EB2EEB" w:rsidRPr="00EB2EEB" w:rsidRDefault="00EB2EEB" w:rsidP="00EB2EEB">
            <w:pPr>
              <w:pStyle w:val="EPMTableHeading"/>
              <w:spacing w:before="720"/>
            </w:pPr>
            <w:r w:rsidRPr="00EB2EEB">
              <w:rPr>
                <w:color w:val="auto"/>
              </w:rPr>
              <w:t>Data processor</w:t>
            </w: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</w:tcBorders>
          </w:tcPr>
          <w:p w14:paraId="2FA8981F" w14:textId="77777777" w:rsidR="00EB2EEB" w:rsidRPr="00EB2EEB" w:rsidRDefault="00EB2EEB" w:rsidP="00EB2EEB">
            <w:pPr>
              <w:pStyle w:val="EPMTextstyle"/>
              <w:spacing w:after="60"/>
            </w:pPr>
            <w:r w:rsidRPr="00EB2EEB">
              <w:t xml:space="preserve">The individual/s who act on the data controller’s behalf by processing personal data, </w:t>
            </w:r>
            <w:proofErr w:type="gramStart"/>
            <w:r w:rsidRPr="00EB2EEB">
              <w:t>e.g.</w:t>
            </w:r>
            <w:proofErr w:type="gramEnd"/>
            <w:r w:rsidRPr="00EB2EEB">
              <w:t xml:space="preserve"> a third-party HR or Payroll provider such as EPM. </w:t>
            </w:r>
          </w:p>
          <w:p w14:paraId="24B44C18" w14:textId="71E0BC31" w:rsidR="00EB2EEB" w:rsidRPr="00EB2EEB" w:rsidRDefault="00EB2EEB" w:rsidP="00EB2EEB">
            <w:pPr>
              <w:pStyle w:val="EPMTextstyle"/>
              <w:spacing w:after="60"/>
              <w:rPr>
                <w:b w:val="0"/>
                <w:bCs w:val="0"/>
              </w:rPr>
            </w:pPr>
            <w:r w:rsidRPr="00EB2EEB">
              <w:rPr>
                <w:b w:val="0"/>
                <w:bCs w:val="0"/>
              </w:rPr>
              <w:t>A data processor will be a data processor in relation to its own employees and customers’ employee data.</w:t>
            </w:r>
          </w:p>
        </w:tc>
      </w:tr>
      <w:tr w:rsidR="00EB2EEB" w:rsidRPr="0099024B" w14:paraId="6BF71E5D" w14:textId="77777777" w:rsidTr="00CF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12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auto"/>
          </w:tcPr>
          <w:p w14:paraId="0026D2FB" w14:textId="2FF32B47" w:rsidR="00EB2EEB" w:rsidRPr="00EB2EEB" w:rsidRDefault="00EB2EEB" w:rsidP="007C1295">
            <w:pPr>
              <w:pStyle w:val="EPMTableHeading"/>
              <w:spacing w:before="200" w:after="120"/>
            </w:pPr>
            <w:r w:rsidRPr="00EB2EEB">
              <w:rPr>
                <w:color w:val="auto"/>
              </w:rPr>
              <w:t>Data subject</w:t>
            </w: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</w:tcBorders>
            <w:shd w:val="clear" w:color="auto" w:fill="auto"/>
          </w:tcPr>
          <w:p w14:paraId="6C78A8F8" w14:textId="31089A3A" w:rsidR="00EB2EEB" w:rsidRPr="00EB2EEB" w:rsidRDefault="00EB2EEB" w:rsidP="00EB2EEB">
            <w:pPr>
              <w:pStyle w:val="EPMTextstyle"/>
              <w:spacing w:after="60"/>
              <w:rPr>
                <w:b w:val="0"/>
                <w:bCs w:val="0"/>
              </w:rPr>
            </w:pPr>
            <w:r w:rsidRPr="00EB2EEB">
              <w:rPr>
                <w:b w:val="0"/>
                <w:bCs w:val="0"/>
              </w:rPr>
              <w:t xml:space="preserve">The </w:t>
            </w:r>
            <w:r w:rsidRPr="007C1295">
              <w:t>i</w:t>
            </w:r>
            <w:r w:rsidRPr="00EB2EEB">
              <w:t>ndividual</w:t>
            </w:r>
            <w:r w:rsidRPr="00EB2EEB">
              <w:rPr>
                <w:b w:val="0"/>
                <w:bCs w:val="0"/>
              </w:rPr>
              <w:t xml:space="preserve"> who is the subject of personal data e.g., employees, former </w:t>
            </w:r>
            <w:proofErr w:type="gramStart"/>
            <w:r w:rsidRPr="00EB2EEB">
              <w:rPr>
                <w:b w:val="0"/>
                <w:bCs w:val="0"/>
              </w:rPr>
              <w:t>employees</w:t>
            </w:r>
            <w:proofErr w:type="gramEnd"/>
            <w:r w:rsidRPr="00EB2EEB">
              <w:rPr>
                <w:b w:val="0"/>
                <w:bCs w:val="0"/>
              </w:rPr>
              <w:t xml:space="preserve"> or job applicants.</w:t>
            </w:r>
          </w:p>
        </w:tc>
      </w:tr>
      <w:tr w:rsidR="00F97827" w:rsidRPr="0099024B" w14:paraId="79F61E2A" w14:textId="77777777" w:rsidTr="00CF703F">
        <w:tc>
          <w:tcPr>
            <w:tcW w:w="3212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</w:tcPr>
          <w:p w14:paraId="1342958F" w14:textId="5FDC1FBB" w:rsidR="00F97827" w:rsidRPr="009F6988" w:rsidRDefault="007C1295" w:rsidP="007C1295">
            <w:pPr>
              <w:pStyle w:val="EPMTableHeading"/>
              <w:spacing w:before="720"/>
              <w:rPr>
                <w:b/>
              </w:rPr>
            </w:pPr>
            <w:r w:rsidRPr="007C1295">
              <w:rPr>
                <w:b/>
                <w:color w:val="auto"/>
              </w:rPr>
              <w:t>Personal data</w:t>
            </w: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</w:tcBorders>
          </w:tcPr>
          <w:p w14:paraId="13AA1239" w14:textId="77777777" w:rsidR="007C1295" w:rsidRPr="007C1295" w:rsidRDefault="007C1295" w:rsidP="007C1295">
            <w:pPr>
              <w:pStyle w:val="EPMTextstyle"/>
              <w:spacing w:after="60"/>
            </w:pPr>
            <w:r w:rsidRPr="007C1295">
              <w:t xml:space="preserve">Data relating to a </w:t>
            </w:r>
            <w:r w:rsidRPr="007C1295">
              <w:rPr>
                <w:bCs w:val="0"/>
              </w:rPr>
              <w:t>living individual</w:t>
            </w:r>
            <w:r w:rsidRPr="007C1295">
              <w:t xml:space="preserve"> who can be </w:t>
            </w:r>
            <w:r w:rsidRPr="007C1295">
              <w:rPr>
                <w:bCs w:val="0"/>
              </w:rPr>
              <w:t>identified from that data</w:t>
            </w:r>
            <w:r w:rsidRPr="007C1295">
              <w:t xml:space="preserve"> or from that data and other </w:t>
            </w:r>
            <w:proofErr w:type="gramStart"/>
            <w:r w:rsidRPr="007C1295">
              <w:t>information</w:t>
            </w:r>
            <w:proofErr w:type="gramEnd"/>
            <w:r w:rsidRPr="007C1295">
              <w:t xml:space="preserve"> which is in the possession of, or is likely to come into the possession of, the data controller.</w:t>
            </w:r>
          </w:p>
          <w:p w14:paraId="7C704438" w14:textId="7E89C15C" w:rsidR="00F97827" w:rsidRPr="007C1295" w:rsidRDefault="007C1295" w:rsidP="007C1295">
            <w:pPr>
              <w:pStyle w:val="EPMTextstyle"/>
              <w:spacing w:after="60"/>
              <w:rPr>
                <w:b w:val="0"/>
                <w:bCs w:val="0"/>
              </w:rPr>
            </w:pPr>
            <w:r w:rsidRPr="007C1295">
              <w:rPr>
                <w:b w:val="0"/>
                <w:bCs w:val="0"/>
              </w:rPr>
              <w:t>Any data may be personal data. It doesn’t need to be held in a ‘relevant filing system’ to be deemed as this.</w:t>
            </w:r>
          </w:p>
        </w:tc>
      </w:tr>
      <w:tr w:rsidR="00F97827" w:rsidRPr="0099024B" w14:paraId="1A784946" w14:textId="77777777" w:rsidTr="00CF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12" w:type="dxa"/>
            <w:tcBorders>
              <w:top w:val="single" w:sz="4" w:space="0" w:color="9FAAC4"/>
              <w:bottom w:val="single" w:sz="4" w:space="0" w:color="9FAAC4"/>
              <w:right w:val="single" w:sz="4" w:space="0" w:color="9FAAC4"/>
            </w:tcBorders>
            <w:shd w:val="clear" w:color="auto" w:fill="auto"/>
          </w:tcPr>
          <w:p w14:paraId="67F176F2" w14:textId="77777777" w:rsidR="007C1295" w:rsidRPr="007C1295" w:rsidRDefault="007C1295" w:rsidP="00D639A5">
            <w:pPr>
              <w:pStyle w:val="EPMTableHeading"/>
              <w:spacing w:before="480"/>
              <w:rPr>
                <w:color w:val="auto"/>
              </w:rPr>
            </w:pPr>
            <w:r w:rsidRPr="007C1295">
              <w:rPr>
                <w:color w:val="auto"/>
              </w:rPr>
              <w:t>Special categories of personal data</w:t>
            </w:r>
          </w:p>
          <w:p w14:paraId="71F01AFB" w14:textId="356D2052" w:rsidR="00F97827" w:rsidRPr="007C1295" w:rsidRDefault="007C1295" w:rsidP="007C1295">
            <w:pPr>
              <w:pStyle w:val="EPMTableHeading"/>
              <w:spacing w:after="240"/>
              <w:rPr>
                <w:b/>
                <w:sz w:val="18"/>
                <w:szCs w:val="18"/>
              </w:rPr>
            </w:pPr>
            <w:r w:rsidRPr="007C1295">
              <w:rPr>
                <w:color w:val="auto"/>
                <w:sz w:val="18"/>
                <w:szCs w:val="18"/>
              </w:rPr>
              <w:t>(a broader definition which replaces ‘sensitive personal data’ under the DPA)</w:t>
            </w: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4" w:space="0" w:color="9FAAC4"/>
            </w:tcBorders>
            <w:shd w:val="clear" w:color="auto" w:fill="auto"/>
          </w:tcPr>
          <w:p w14:paraId="1631AC4F" w14:textId="77777777" w:rsidR="007C1295" w:rsidRPr="007C1295" w:rsidRDefault="007C1295" w:rsidP="007C1295">
            <w:pPr>
              <w:pStyle w:val="EPMTextstyle"/>
              <w:spacing w:after="60"/>
            </w:pPr>
            <w:r w:rsidRPr="007C1295">
              <w:t xml:space="preserve">Personal data relating to racial or ethnic origin, political opinions, religious or philosophical belief, trade union membership, physical or mental health condition, genetics, biometrics, sexual life, sexual </w:t>
            </w:r>
            <w:proofErr w:type="gramStart"/>
            <w:r w:rsidRPr="007C1295">
              <w:t>orientation</w:t>
            </w:r>
            <w:proofErr w:type="gramEnd"/>
            <w:r w:rsidRPr="007C1295">
              <w:t xml:space="preserve"> and criminal offences. </w:t>
            </w:r>
          </w:p>
          <w:p w14:paraId="2347F46A" w14:textId="0AAC086D" w:rsidR="00F97827" w:rsidRPr="009F6988" w:rsidRDefault="007C1295" w:rsidP="007C1295">
            <w:pPr>
              <w:pStyle w:val="EPMTextstyle"/>
              <w:spacing w:after="60"/>
            </w:pPr>
            <w:r w:rsidRPr="007C1295">
              <w:rPr>
                <w:b w:val="0"/>
              </w:rPr>
              <w:t>This data must be treated with greater care as its likely to be of a private nature and information about these matters could be used in a discriminatory way.</w:t>
            </w:r>
          </w:p>
        </w:tc>
      </w:tr>
      <w:tr w:rsidR="00F97827" w:rsidRPr="0099024B" w14:paraId="5AAE524F" w14:textId="77777777" w:rsidTr="00CF703F">
        <w:tc>
          <w:tcPr>
            <w:tcW w:w="3212" w:type="dxa"/>
            <w:tcBorders>
              <w:top w:val="single" w:sz="4" w:space="0" w:color="9FAAC4"/>
              <w:bottom w:val="single" w:sz="18" w:space="0" w:color="242E55"/>
              <w:right w:val="single" w:sz="4" w:space="0" w:color="9FAAC4"/>
            </w:tcBorders>
          </w:tcPr>
          <w:p w14:paraId="4C939366" w14:textId="680B1448" w:rsidR="00F97827" w:rsidRPr="009F6988" w:rsidRDefault="00D639A5" w:rsidP="00D639A5">
            <w:pPr>
              <w:pStyle w:val="EPMTableHeading"/>
              <w:spacing w:before="180"/>
              <w:rPr>
                <w:b/>
              </w:rPr>
            </w:pPr>
            <w:r w:rsidRPr="00D639A5">
              <w:rPr>
                <w:color w:val="auto"/>
              </w:rPr>
              <w:t>Processing</w:t>
            </w:r>
          </w:p>
        </w:tc>
        <w:tc>
          <w:tcPr>
            <w:tcW w:w="6426" w:type="dxa"/>
            <w:tcBorders>
              <w:top w:val="single" w:sz="4" w:space="0" w:color="9FAAC4"/>
              <w:left w:val="single" w:sz="4" w:space="0" w:color="9FAAC4"/>
              <w:bottom w:val="single" w:sz="18" w:space="0" w:color="242E55"/>
            </w:tcBorders>
            <w:shd w:val="clear" w:color="auto" w:fill="FFFFFF" w:themeFill="background1"/>
          </w:tcPr>
          <w:p w14:paraId="652BC195" w14:textId="25BB46F3" w:rsidR="00F97827" w:rsidRPr="00D639A5" w:rsidRDefault="00D639A5" w:rsidP="00D639A5">
            <w:pPr>
              <w:pStyle w:val="EPMTextstyle"/>
              <w:spacing w:after="60"/>
              <w:rPr>
                <w:b w:val="0"/>
                <w:bCs w:val="0"/>
              </w:rPr>
            </w:pPr>
            <w:r w:rsidRPr="00D639A5">
              <w:t>Any handling of the data</w:t>
            </w:r>
            <w:r w:rsidRPr="00D639A5">
              <w:rPr>
                <w:b w:val="0"/>
                <w:bCs w:val="0"/>
              </w:rPr>
              <w:t xml:space="preserve">. This includes holding, recording, sending, analysing, </w:t>
            </w:r>
            <w:proofErr w:type="gramStart"/>
            <w:r w:rsidRPr="00D639A5">
              <w:rPr>
                <w:b w:val="0"/>
                <w:bCs w:val="0"/>
              </w:rPr>
              <w:t>using</w:t>
            </w:r>
            <w:proofErr w:type="gramEnd"/>
            <w:r w:rsidRPr="00D639A5">
              <w:rPr>
                <w:b w:val="0"/>
                <w:bCs w:val="0"/>
              </w:rPr>
              <w:t xml:space="preserve"> or destroying information or data.</w:t>
            </w:r>
          </w:p>
        </w:tc>
      </w:tr>
    </w:tbl>
    <w:p w14:paraId="6407BAF1" w14:textId="2A7AF63D" w:rsidR="00AE70C0" w:rsidRDefault="00AE70C0" w:rsidP="00DE30A3">
      <w:pPr>
        <w:pStyle w:val="EPMPageHeading"/>
      </w:pPr>
    </w:p>
    <w:sectPr w:rsidR="00AE70C0" w:rsidSect="00D639A5">
      <w:footerReference w:type="default" r:id="rId12"/>
      <w:pgSz w:w="11906" w:h="16838"/>
      <w:pgMar w:top="1695" w:right="1021" w:bottom="851" w:left="1021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A6FB" w14:textId="77777777" w:rsidR="008E5BE4" w:rsidRDefault="008E5BE4" w:rsidP="002C1565">
      <w:r>
        <w:separator/>
      </w:r>
    </w:p>
  </w:endnote>
  <w:endnote w:type="continuationSeparator" w:id="0">
    <w:p w14:paraId="7BF5CC78" w14:textId="77777777" w:rsidR="008E5BE4" w:rsidRDefault="008E5BE4" w:rsidP="002C1565">
      <w:r>
        <w:continuationSeparator/>
      </w:r>
    </w:p>
  </w:endnote>
  <w:endnote w:type="continuationNotice" w:id="1">
    <w:p w14:paraId="0E41FF1E" w14:textId="77777777" w:rsidR="008E5BE4" w:rsidRDefault="008E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0B7D76FC" w:rsidR="00B3029C" w:rsidRPr="000A69A2" w:rsidRDefault="001A7776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  <w:r>
      <w:rPr>
        <w:rFonts w:ascii="Calibri" w:hAnsi="Calibri" w:cs="Calibri"/>
        <w:color w:val="808080" w:themeColor="background1" w:themeShade="80"/>
        <w:sz w:val="16"/>
        <w:szCs w:val="16"/>
      </w:rPr>
      <w:t>Last reviewed: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47AD" w14:textId="77777777" w:rsidR="008E5BE4" w:rsidRDefault="008E5BE4" w:rsidP="002C1565">
      <w:r>
        <w:separator/>
      </w:r>
    </w:p>
  </w:footnote>
  <w:footnote w:type="continuationSeparator" w:id="0">
    <w:p w14:paraId="69BFA165" w14:textId="77777777" w:rsidR="008E5BE4" w:rsidRDefault="008E5BE4" w:rsidP="002C1565">
      <w:r>
        <w:continuationSeparator/>
      </w:r>
    </w:p>
  </w:footnote>
  <w:footnote w:type="continuationNotice" w:id="1">
    <w:p w14:paraId="411C4D7E" w14:textId="77777777" w:rsidR="008E5BE4" w:rsidRDefault="008E5B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06908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A7776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0DEE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1295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8E5BE4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E70C0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CF703F"/>
    <w:rsid w:val="00D07A72"/>
    <w:rsid w:val="00D26048"/>
    <w:rsid w:val="00D31B75"/>
    <w:rsid w:val="00D55A17"/>
    <w:rsid w:val="00D639A5"/>
    <w:rsid w:val="00D75EA8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B2EEB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97827"/>
    <w:rsid w:val="00FB08C8"/>
    <w:rsid w:val="00FE292D"/>
    <w:rsid w:val="0FD3C089"/>
    <w:rsid w:val="18105FB5"/>
    <w:rsid w:val="37E83063"/>
    <w:rsid w:val="49459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F97827"/>
    <w:pPr>
      <w:tabs>
        <w:tab w:val="left" w:pos="284"/>
        <w:tab w:val="left" w:pos="567"/>
        <w:tab w:val="left" w:pos="851"/>
        <w:tab w:val="left" w:pos="6804"/>
      </w:tabs>
      <w:spacing w:before="60" w:after="180" w:line="280" w:lineRule="exact"/>
    </w:pPr>
    <w:rPr>
      <w:rFonts w:ascii="Avenir Next LT Pro" w:hAnsi="Avenir Next LT Pro" w:cs="Arial"/>
      <w:bCs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F97827"/>
    <w:rPr>
      <w:rFonts w:ascii="Avenir Next LT Pro" w:hAnsi="Avenir Next LT Pro" w:cs="Arial"/>
      <w:bCs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bCs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bCs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bCs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bCs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8" ma:contentTypeDescription="Create a new document." ma:contentTypeScope="" ma:versionID="66b0be4137fd5c3a0ac3d5a9d3fa44ac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5e1d755a21fa749146756247d870573f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293BC2-A410-4784-B217-434ECDC2A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5</cp:revision>
  <dcterms:created xsi:type="dcterms:W3CDTF">2023-04-06T13:45:00Z</dcterms:created>
  <dcterms:modified xsi:type="dcterms:W3CDTF">2023-07-20T09:20:00Z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