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F1229" w14:textId="1BEAB60C" w:rsidR="00D55A17" w:rsidRPr="00ED4A78" w:rsidRDefault="006A7BC7" w:rsidP="00005427">
      <w:pPr>
        <w:pStyle w:val="EPMPageTitle"/>
        <w:rPr>
          <w:rFonts w:ascii="Arial" w:hAnsi="Arial" w:cs="Arial"/>
          <w:b/>
          <w:bCs/>
        </w:rPr>
      </w:pPr>
      <w:bookmarkStart w:id="0" w:name="_Toc131604218"/>
      <w:r w:rsidRPr="00ED4A7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1" locked="0" layoutInCell="1" allowOverlap="1" wp14:anchorId="1BE17FA2" wp14:editId="719994B7">
            <wp:simplePos x="0" y="0"/>
            <wp:positionH relativeFrom="page">
              <wp:posOffset>11430</wp:posOffset>
            </wp:positionH>
            <wp:positionV relativeFrom="page">
              <wp:posOffset>485775</wp:posOffset>
            </wp:positionV>
            <wp:extent cx="7556853" cy="10681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853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72" w:rsidRPr="00ED4A7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800" behindDoc="0" locked="0" layoutInCell="1" allowOverlap="1" wp14:anchorId="729481CC" wp14:editId="0958501A">
            <wp:simplePos x="0" y="0"/>
            <wp:positionH relativeFrom="column">
              <wp:posOffset>4698365</wp:posOffset>
            </wp:positionH>
            <wp:positionV relativeFrom="paragraph">
              <wp:posOffset>-1320960</wp:posOffset>
            </wp:positionV>
            <wp:extent cx="1691959" cy="8382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95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A17" w:rsidRPr="00ED4A7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33DEF0" wp14:editId="1246E365">
                <wp:simplePos x="0" y="0"/>
                <wp:positionH relativeFrom="page">
                  <wp:posOffset>-723900</wp:posOffset>
                </wp:positionH>
                <wp:positionV relativeFrom="paragraph">
                  <wp:posOffset>-130138</wp:posOffset>
                </wp:positionV>
                <wp:extent cx="1440000" cy="720000"/>
                <wp:effectExtent l="4445" t="0" r="0" b="0"/>
                <wp:wrapNone/>
                <wp:docPr id="8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F43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8" o:spid="_x0000_s1026" type="#_x0000_t5" style="position:absolute;margin-left:-57pt;margin-top:-10.25pt;width:113.4pt;height:56.7pt;rotation:90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" fillcolor="#a31457" stroked="f" strokeweight="1pt">
                <v:textbox inset="0,0,0,0"/>
                <w10:wrap anchorx="page"/>
              </v:shape>
            </w:pict>
          </mc:Fallback>
        </mc:AlternateContent>
      </w:r>
      <w:bookmarkEnd w:id="0"/>
      <w:r w:rsidR="00AF20C2" w:rsidRPr="00ED4A78">
        <w:rPr>
          <w:rFonts w:ascii="Arial" w:hAnsi="Arial" w:cs="Arial"/>
          <w:b/>
          <w:bCs/>
          <w:noProof/>
        </w:rPr>
        <w:t>Harassment</w:t>
      </w:r>
      <w:r w:rsidR="0009522C" w:rsidRPr="00ED4A78">
        <w:rPr>
          <w:rFonts w:ascii="Arial" w:hAnsi="Arial" w:cs="Arial"/>
          <w:b/>
          <w:bCs/>
        </w:rPr>
        <w:t xml:space="preserve"> </w:t>
      </w:r>
      <w:r w:rsidR="004A770E" w:rsidRPr="00ED4A78">
        <w:rPr>
          <w:rFonts w:ascii="Arial" w:hAnsi="Arial" w:cs="Arial"/>
          <w:b/>
          <w:bCs/>
        </w:rPr>
        <w:t xml:space="preserve">and Victimisation </w:t>
      </w:r>
      <w:r w:rsidR="0009522C" w:rsidRPr="00ED4A78">
        <w:rPr>
          <w:rFonts w:ascii="Arial" w:hAnsi="Arial" w:cs="Arial"/>
          <w:b/>
          <w:bCs/>
        </w:rPr>
        <w:t>Risk Assessment Guidance</w:t>
      </w:r>
    </w:p>
    <w:p w14:paraId="2E7D5885" w14:textId="6E225AC9" w:rsidR="00D55A17" w:rsidRPr="007E7572" w:rsidRDefault="00D55A17" w:rsidP="00BA2D0A">
      <w:pPr>
        <w:pStyle w:val="EPMPageHeading"/>
      </w:pPr>
    </w:p>
    <w:p w14:paraId="331A6A20" w14:textId="5A815ECC" w:rsidR="00D55A17" w:rsidRPr="007E7572" w:rsidRDefault="00D55A17" w:rsidP="00BA2D0A">
      <w:pPr>
        <w:pStyle w:val="EPMPageHeading"/>
        <w:sectPr w:rsidR="00D55A17" w:rsidRPr="007E7572" w:rsidSect="00666C8A">
          <w:footerReference w:type="default" r:id="rId13"/>
          <w:pgSz w:w="11906" w:h="16838"/>
          <w:pgMar w:top="2842" w:right="1021" w:bottom="851" w:left="1021" w:header="709" w:footer="544" w:gutter="0"/>
          <w:cols w:space="708"/>
          <w:docGrid w:linePitch="360"/>
        </w:sectPr>
      </w:pPr>
    </w:p>
    <w:p w14:paraId="480B8EA5" w14:textId="24B2BAB3" w:rsidR="00DD7009" w:rsidRPr="00ED4A78" w:rsidRDefault="00AF20C2" w:rsidP="00DD7009">
      <w:pPr>
        <w:pStyle w:val="EPMPageHeading"/>
        <w:rPr>
          <w:rFonts w:ascii="Arial" w:hAnsi="Arial"/>
          <w:b/>
          <w:bCs/>
        </w:rPr>
      </w:pPr>
      <w:r w:rsidRPr="00ED4A78">
        <w:rPr>
          <w:rFonts w:ascii="Arial" w:hAnsi="Arial"/>
          <w:b/>
          <w:bCs/>
        </w:rPr>
        <w:lastRenderedPageBreak/>
        <w:t>Harassment</w:t>
      </w:r>
      <w:r w:rsidR="004A770E" w:rsidRPr="00ED4A78">
        <w:rPr>
          <w:rFonts w:ascii="Arial" w:hAnsi="Arial"/>
          <w:b/>
          <w:bCs/>
        </w:rPr>
        <w:t xml:space="preserve"> and Victimisation</w:t>
      </w:r>
      <w:r w:rsidRPr="00ED4A78">
        <w:rPr>
          <w:rFonts w:ascii="Arial" w:hAnsi="Arial"/>
          <w:b/>
          <w:bCs/>
        </w:rPr>
        <w:t xml:space="preserve"> </w:t>
      </w:r>
      <w:r w:rsidR="00B124B7" w:rsidRPr="00ED4A78">
        <w:rPr>
          <w:rFonts w:ascii="Arial" w:hAnsi="Arial"/>
          <w:b/>
          <w:bCs/>
        </w:rPr>
        <w:t>Risk Assessment Guidance</w:t>
      </w:r>
    </w:p>
    <w:p w14:paraId="6AD86FAF" w14:textId="43F4A4E2" w:rsidR="009D15E7" w:rsidRPr="00ED4A78" w:rsidRDefault="009D15E7" w:rsidP="009D15E7">
      <w:pPr>
        <w:pStyle w:val="EPMTextstyle"/>
        <w:rPr>
          <w:rFonts w:ascii="Arial" w:hAnsi="Arial"/>
        </w:rPr>
      </w:pPr>
      <w:r w:rsidRPr="00ED4A78">
        <w:rPr>
          <w:rFonts w:ascii="Arial" w:hAnsi="Arial"/>
        </w:rPr>
        <w:t xml:space="preserve">The following risk assessment can be used when considering </w:t>
      </w:r>
      <w:r w:rsidR="00CC5E01" w:rsidRPr="00ED4A78">
        <w:rPr>
          <w:rFonts w:ascii="Arial" w:hAnsi="Arial"/>
        </w:rPr>
        <w:t xml:space="preserve">potential risks of harassment </w:t>
      </w:r>
      <w:r w:rsidR="004A770E" w:rsidRPr="00ED4A78">
        <w:rPr>
          <w:rFonts w:ascii="Arial" w:hAnsi="Arial"/>
        </w:rPr>
        <w:t xml:space="preserve">and victimisation </w:t>
      </w:r>
      <w:r w:rsidR="00CC5E01" w:rsidRPr="00ED4A78">
        <w:rPr>
          <w:rFonts w:ascii="Arial" w:hAnsi="Arial"/>
        </w:rPr>
        <w:t xml:space="preserve">in the workplace. </w:t>
      </w:r>
    </w:p>
    <w:p w14:paraId="4BF52DD0" w14:textId="5D4258C8" w:rsidR="0009522C" w:rsidRPr="00ED4A78" w:rsidRDefault="009D15E7" w:rsidP="009D15E7">
      <w:pPr>
        <w:pStyle w:val="EPMTextstyle"/>
        <w:rPr>
          <w:rFonts w:ascii="Arial" w:hAnsi="Arial"/>
        </w:rPr>
      </w:pPr>
      <w:r w:rsidRPr="00ED4A78">
        <w:rPr>
          <w:rFonts w:ascii="Arial" w:hAnsi="Arial"/>
        </w:rPr>
        <w:t xml:space="preserve">The </w:t>
      </w:r>
      <w:r w:rsidR="00B67BFC" w:rsidRPr="00ED4A78">
        <w:rPr>
          <w:rFonts w:ascii="Arial" w:hAnsi="Arial"/>
        </w:rPr>
        <w:t>Harassment</w:t>
      </w:r>
      <w:r w:rsidR="004A770E" w:rsidRPr="00ED4A78">
        <w:rPr>
          <w:rFonts w:ascii="Arial" w:hAnsi="Arial"/>
        </w:rPr>
        <w:t xml:space="preserve"> and Victimisation</w:t>
      </w:r>
      <w:r w:rsidRPr="00ED4A78">
        <w:rPr>
          <w:rFonts w:ascii="Arial" w:hAnsi="Arial"/>
        </w:rPr>
        <w:t xml:space="preserve"> Risk Assessment </w:t>
      </w:r>
      <w:r w:rsidR="0F561AEB" w:rsidRPr="00ED4A78">
        <w:rPr>
          <w:rFonts w:ascii="Arial" w:hAnsi="Arial"/>
        </w:rPr>
        <w:t>template can</w:t>
      </w:r>
      <w:r w:rsidRPr="00ED4A78">
        <w:rPr>
          <w:rFonts w:ascii="Arial" w:hAnsi="Arial"/>
        </w:rPr>
        <w:t xml:space="preserve"> be used as a guide to assist those conducting the assessment in looking at the possible </w:t>
      </w:r>
      <w:r w:rsidR="00166853" w:rsidRPr="00ED4A78">
        <w:rPr>
          <w:rFonts w:ascii="Arial" w:hAnsi="Arial"/>
        </w:rPr>
        <w:t>factors and ways in which risks can be removed or reduced</w:t>
      </w:r>
      <w:r w:rsidR="028D9DB4" w:rsidRPr="00ED4A78">
        <w:rPr>
          <w:rFonts w:ascii="Arial" w:hAnsi="Arial"/>
        </w:rPr>
        <w:t xml:space="preserve">, an example of cause and possible intervention is included. </w:t>
      </w:r>
    </w:p>
    <w:p w14:paraId="00E487B4" w14:textId="0EE6795E" w:rsidR="00EA119C" w:rsidRPr="00ED4A78" w:rsidRDefault="00EA119C" w:rsidP="00EA119C">
      <w:pPr>
        <w:pStyle w:val="EPMSubheading"/>
        <w:rPr>
          <w:rFonts w:ascii="Arial" w:hAnsi="Arial"/>
          <w:b/>
          <w:bCs/>
        </w:rPr>
      </w:pPr>
      <w:r w:rsidRPr="00ED4A78">
        <w:rPr>
          <w:rFonts w:ascii="Arial" w:hAnsi="Arial"/>
          <w:b/>
          <w:bCs/>
        </w:rPr>
        <w:t xml:space="preserve">Who Should Conduct the </w:t>
      </w:r>
      <w:r w:rsidR="00C529CB" w:rsidRPr="00ED4A78">
        <w:rPr>
          <w:rFonts w:ascii="Arial" w:hAnsi="Arial"/>
          <w:b/>
          <w:bCs/>
        </w:rPr>
        <w:t>Harassment</w:t>
      </w:r>
      <w:r w:rsidR="004A770E" w:rsidRPr="00ED4A78">
        <w:rPr>
          <w:rFonts w:ascii="Arial" w:hAnsi="Arial"/>
          <w:b/>
          <w:bCs/>
        </w:rPr>
        <w:t xml:space="preserve"> and Victimisation</w:t>
      </w:r>
      <w:r w:rsidR="00C529CB" w:rsidRPr="00ED4A78">
        <w:rPr>
          <w:rFonts w:ascii="Arial" w:hAnsi="Arial"/>
          <w:b/>
          <w:bCs/>
        </w:rPr>
        <w:t xml:space="preserve"> Risk</w:t>
      </w:r>
      <w:r w:rsidRPr="00ED4A78">
        <w:rPr>
          <w:rFonts w:ascii="Arial" w:hAnsi="Arial"/>
          <w:b/>
          <w:bCs/>
        </w:rPr>
        <w:t xml:space="preserve"> Assessment?</w:t>
      </w:r>
    </w:p>
    <w:p w14:paraId="5A36C31B" w14:textId="611095FE" w:rsidR="00EA119C" w:rsidRPr="00ED4A78" w:rsidRDefault="00EA119C" w:rsidP="00EA119C">
      <w:pPr>
        <w:pStyle w:val="EPMTextstyle"/>
        <w:rPr>
          <w:rFonts w:ascii="Arial" w:hAnsi="Arial"/>
        </w:rPr>
      </w:pPr>
      <w:r w:rsidRPr="00ED4A78">
        <w:rPr>
          <w:rFonts w:ascii="Arial" w:hAnsi="Arial"/>
        </w:rPr>
        <w:t xml:space="preserve">In most instances </w:t>
      </w:r>
      <w:r w:rsidR="00C529CB" w:rsidRPr="00ED4A78">
        <w:rPr>
          <w:rFonts w:ascii="Arial" w:hAnsi="Arial"/>
        </w:rPr>
        <w:t xml:space="preserve">the risk assessment will be conducted in </w:t>
      </w:r>
      <w:r w:rsidR="006403C7" w:rsidRPr="00ED4A78">
        <w:rPr>
          <w:rFonts w:ascii="Arial" w:hAnsi="Arial"/>
        </w:rPr>
        <w:t>conjunction with Senior Leaders</w:t>
      </w:r>
      <w:r w:rsidR="00D07109" w:rsidRPr="00ED4A78">
        <w:rPr>
          <w:rFonts w:ascii="Arial" w:hAnsi="Arial"/>
        </w:rPr>
        <w:t xml:space="preserve">, </w:t>
      </w:r>
      <w:r w:rsidR="006403C7" w:rsidRPr="00ED4A78">
        <w:rPr>
          <w:rFonts w:ascii="Arial" w:hAnsi="Arial"/>
        </w:rPr>
        <w:t>Health and Safety</w:t>
      </w:r>
      <w:r w:rsidR="00D07109" w:rsidRPr="00ED4A78">
        <w:rPr>
          <w:rFonts w:ascii="Arial" w:hAnsi="Arial"/>
        </w:rPr>
        <w:t xml:space="preserve"> and HR</w:t>
      </w:r>
      <w:r w:rsidRPr="00ED4A78">
        <w:rPr>
          <w:rFonts w:ascii="Arial" w:hAnsi="Arial"/>
        </w:rPr>
        <w:t xml:space="preserve">. This is because they </w:t>
      </w:r>
      <w:proofErr w:type="gramStart"/>
      <w:r w:rsidRPr="00ED4A78">
        <w:rPr>
          <w:rFonts w:ascii="Arial" w:hAnsi="Arial"/>
        </w:rPr>
        <w:t>have the ability to</w:t>
      </w:r>
      <w:proofErr w:type="gramEnd"/>
      <w:r w:rsidR="00D34E61" w:rsidRPr="00ED4A78">
        <w:rPr>
          <w:rFonts w:ascii="Arial" w:hAnsi="Arial"/>
        </w:rPr>
        <w:t xml:space="preserve"> take a holistic view of potential risks and have authority to</w:t>
      </w:r>
      <w:r w:rsidRPr="00ED4A78">
        <w:rPr>
          <w:rFonts w:ascii="Arial" w:hAnsi="Arial"/>
        </w:rPr>
        <w:t xml:space="preserve"> alter or control a number of the factors</w:t>
      </w:r>
      <w:r w:rsidR="00D34E61" w:rsidRPr="00ED4A78">
        <w:rPr>
          <w:rFonts w:ascii="Arial" w:hAnsi="Arial"/>
        </w:rPr>
        <w:t>.</w:t>
      </w:r>
    </w:p>
    <w:p w14:paraId="171CB20F" w14:textId="53B681A0" w:rsidR="008B6C81" w:rsidRPr="00ED4A78" w:rsidRDefault="008B6C81" w:rsidP="008B6C81">
      <w:pPr>
        <w:pStyle w:val="EPMSubheading"/>
        <w:rPr>
          <w:rFonts w:ascii="Arial" w:hAnsi="Arial"/>
          <w:b/>
          <w:bCs/>
        </w:rPr>
      </w:pPr>
      <w:r w:rsidRPr="00ED4A78">
        <w:rPr>
          <w:rFonts w:ascii="Arial" w:hAnsi="Arial"/>
          <w:b/>
          <w:bCs/>
        </w:rPr>
        <w:t xml:space="preserve">How to Conduct </w:t>
      </w:r>
      <w:r w:rsidR="002F4BA1" w:rsidRPr="00ED4A78">
        <w:rPr>
          <w:rFonts w:ascii="Arial" w:hAnsi="Arial"/>
          <w:b/>
          <w:bCs/>
        </w:rPr>
        <w:t xml:space="preserve">the Harassment </w:t>
      </w:r>
      <w:r w:rsidR="00D07109" w:rsidRPr="00ED4A78">
        <w:rPr>
          <w:rFonts w:ascii="Arial" w:hAnsi="Arial"/>
          <w:b/>
          <w:bCs/>
        </w:rPr>
        <w:t xml:space="preserve">and Victimisation </w:t>
      </w:r>
      <w:r w:rsidRPr="00ED4A78">
        <w:rPr>
          <w:rFonts w:ascii="Arial" w:hAnsi="Arial"/>
          <w:b/>
          <w:bCs/>
        </w:rPr>
        <w:t>Risk Assessment</w:t>
      </w:r>
    </w:p>
    <w:p w14:paraId="4E36C681" w14:textId="2D88BABC" w:rsidR="002D14D4" w:rsidRPr="00ED4A78" w:rsidRDefault="00CB6FAB" w:rsidP="008B6C81">
      <w:pPr>
        <w:pStyle w:val="EPMTextstyle"/>
        <w:rPr>
          <w:rFonts w:ascii="Arial" w:hAnsi="Arial"/>
        </w:rPr>
      </w:pPr>
      <w:r w:rsidRPr="00ED4A78">
        <w:rPr>
          <w:rFonts w:ascii="Arial" w:hAnsi="Arial"/>
        </w:rPr>
        <w:t xml:space="preserve">Consider the factors within your workplace that </w:t>
      </w:r>
      <w:r w:rsidR="005C31B6" w:rsidRPr="00ED4A78">
        <w:rPr>
          <w:rFonts w:ascii="Arial" w:hAnsi="Arial"/>
        </w:rPr>
        <w:t>may present a risk of harassment</w:t>
      </w:r>
      <w:r w:rsidR="00D07109" w:rsidRPr="00ED4A78">
        <w:rPr>
          <w:rFonts w:ascii="Arial" w:hAnsi="Arial"/>
        </w:rPr>
        <w:t xml:space="preserve"> and </w:t>
      </w:r>
      <w:r w:rsidR="007D65F6" w:rsidRPr="00ED4A78">
        <w:rPr>
          <w:rFonts w:ascii="Arial" w:hAnsi="Arial"/>
        </w:rPr>
        <w:t>victimisation</w:t>
      </w:r>
      <w:r w:rsidR="005C31B6" w:rsidRPr="00ED4A78">
        <w:rPr>
          <w:rFonts w:ascii="Arial" w:hAnsi="Arial"/>
        </w:rPr>
        <w:t xml:space="preserve"> occurring.</w:t>
      </w:r>
      <w:r w:rsidR="002D14D4" w:rsidRPr="00ED4A78">
        <w:rPr>
          <w:rFonts w:ascii="Arial" w:hAnsi="Arial"/>
        </w:rPr>
        <w:t xml:space="preserve"> For example, this might include:</w:t>
      </w:r>
    </w:p>
    <w:p w14:paraId="49960C1E" w14:textId="7CFF73FA" w:rsidR="008B6C81" w:rsidRPr="00ED4A78" w:rsidRDefault="002D14D4" w:rsidP="008B6C81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>Power imbalances between staff</w:t>
      </w:r>
    </w:p>
    <w:p w14:paraId="055CA8B9" w14:textId="5D7D2EE8" w:rsidR="002D14D4" w:rsidRPr="00ED4A78" w:rsidRDefault="002D14D4" w:rsidP="008B6C81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>Lone working</w:t>
      </w:r>
    </w:p>
    <w:p w14:paraId="31D75203" w14:textId="2F55E630" w:rsidR="002D14D4" w:rsidRPr="00ED4A78" w:rsidRDefault="00284B6B" w:rsidP="00284B6B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>Customer-facing duties</w:t>
      </w:r>
    </w:p>
    <w:p w14:paraId="1627D9AC" w14:textId="62963E8E" w:rsidR="00284B6B" w:rsidRPr="00ED4A78" w:rsidRDefault="007D65F6" w:rsidP="00284B6B">
      <w:pPr>
        <w:pStyle w:val="EPMBullets"/>
        <w:rPr>
          <w:rFonts w:ascii="Arial" w:hAnsi="Arial"/>
        </w:rPr>
      </w:pPr>
      <w:proofErr w:type="gramStart"/>
      <w:r w:rsidRPr="00ED4A78">
        <w:rPr>
          <w:rFonts w:ascii="Arial" w:hAnsi="Arial"/>
        </w:rPr>
        <w:t>Particular events</w:t>
      </w:r>
      <w:proofErr w:type="gramEnd"/>
      <w:r w:rsidRPr="00ED4A78">
        <w:rPr>
          <w:rFonts w:ascii="Arial" w:hAnsi="Arial"/>
        </w:rPr>
        <w:t xml:space="preserve"> that raise tensions</w:t>
      </w:r>
    </w:p>
    <w:p w14:paraId="356259C1" w14:textId="76FE1127" w:rsidR="00C3210F" w:rsidRPr="00ED4A78" w:rsidRDefault="0086235B" w:rsidP="00750208">
      <w:pPr>
        <w:pStyle w:val="EPMBullets"/>
        <w:spacing w:line="360" w:lineRule="auto"/>
        <w:rPr>
          <w:rFonts w:ascii="Arial" w:hAnsi="Arial"/>
        </w:rPr>
      </w:pPr>
      <w:r w:rsidRPr="00ED4A78">
        <w:rPr>
          <w:rFonts w:ascii="Arial" w:hAnsi="Arial"/>
        </w:rPr>
        <w:t>Lack of diversity in the workplace</w:t>
      </w:r>
    </w:p>
    <w:p w14:paraId="5B794FF9" w14:textId="70EECC1D" w:rsidR="00874AE0" w:rsidRPr="00ED4A78" w:rsidRDefault="0039552F" w:rsidP="004A37CD">
      <w:pPr>
        <w:pStyle w:val="EPMBullets"/>
        <w:numPr>
          <w:ilvl w:val="0"/>
          <w:numId w:val="0"/>
        </w:numPr>
        <w:rPr>
          <w:rFonts w:ascii="Arial" w:hAnsi="Arial"/>
        </w:rPr>
      </w:pPr>
      <w:r w:rsidRPr="00ED4A78">
        <w:rPr>
          <w:rFonts w:ascii="Arial" w:hAnsi="Arial"/>
        </w:rPr>
        <w:t xml:space="preserve">There are several ways to identify potential risks, </w:t>
      </w:r>
      <w:r w:rsidR="00CF292D" w:rsidRPr="00ED4A78">
        <w:rPr>
          <w:rFonts w:ascii="Arial" w:hAnsi="Arial"/>
        </w:rPr>
        <w:t>this might include:</w:t>
      </w:r>
    </w:p>
    <w:p w14:paraId="538991C2" w14:textId="7F0F02B6" w:rsidR="00CF292D" w:rsidRPr="00ED4A78" w:rsidRDefault="002D7A72" w:rsidP="00CF292D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 xml:space="preserve">Asking employees about their experiences, through 1-1 meetings, surveys </w:t>
      </w:r>
      <w:r w:rsidR="00F81A4A" w:rsidRPr="00ED4A78">
        <w:rPr>
          <w:rFonts w:ascii="Arial" w:hAnsi="Arial"/>
        </w:rPr>
        <w:t xml:space="preserve">or </w:t>
      </w:r>
      <w:r w:rsidR="000F534B" w:rsidRPr="00ED4A78">
        <w:rPr>
          <w:rFonts w:ascii="Arial" w:hAnsi="Arial"/>
        </w:rPr>
        <w:t>support/resource groups</w:t>
      </w:r>
    </w:p>
    <w:p w14:paraId="5FA9B1BE" w14:textId="686AB9F1" w:rsidR="00CF292D" w:rsidRPr="00ED4A78" w:rsidRDefault="00303660" w:rsidP="00CF292D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>Looking at the working environment</w:t>
      </w:r>
      <w:r w:rsidR="005C769F" w:rsidRPr="00ED4A78">
        <w:rPr>
          <w:rFonts w:ascii="Arial" w:hAnsi="Arial"/>
        </w:rPr>
        <w:t xml:space="preserve"> and how people work</w:t>
      </w:r>
    </w:p>
    <w:p w14:paraId="101D70EA" w14:textId="2A8308E1" w:rsidR="005C769F" w:rsidRPr="00ED4A78" w:rsidRDefault="005C769F" w:rsidP="00CF292D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>Looking back at records of previous complaints</w:t>
      </w:r>
      <w:r w:rsidR="00476C36" w:rsidRPr="00ED4A78">
        <w:rPr>
          <w:rFonts w:ascii="Arial" w:hAnsi="Arial"/>
        </w:rPr>
        <w:t xml:space="preserve"> raised formally, informally and via exit interviews</w:t>
      </w:r>
    </w:p>
    <w:p w14:paraId="3A60CB6D" w14:textId="7048B422" w:rsidR="00750208" w:rsidRPr="00ED4A78" w:rsidRDefault="00A85F2D" w:rsidP="00750208">
      <w:pPr>
        <w:pStyle w:val="EPMBullets"/>
        <w:spacing w:line="360" w:lineRule="auto"/>
        <w:rPr>
          <w:rFonts w:ascii="Arial" w:hAnsi="Arial"/>
        </w:rPr>
      </w:pPr>
      <w:r w:rsidRPr="00ED4A78">
        <w:rPr>
          <w:rFonts w:ascii="Arial" w:hAnsi="Arial"/>
        </w:rPr>
        <w:t xml:space="preserve">Utilising </w:t>
      </w:r>
      <w:r w:rsidR="00C01CF6" w:rsidRPr="00ED4A78">
        <w:rPr>
          <w:rFonts w:ascii="Arial" w:hAnsi="Arial"/>
        </w:rPr>
        <w:t xml:space="preserve">information on </w:t>
      </w:r>
      <w:r w:rsidRPr="00ED4A78">
        <w:rPr>
          <w:rFonts w:ascii="Arial" w:hAnsi="Arial"/>
        </w:rPr>
        <w:t xml:space="preserve">known patterns </w:t>
      </w:r>
      <w:r w:rsidR="00C01CF6" w:rsidRPr="00ED4A78">
        <w:rPr>
          <w:rFonts w:ascii="Arial" w:hAnsi="Arial"/>
        </w:rPr>
        <w:t xml:space="preserve">of when harassment may occur, e.g. </w:t>
      </w:r>
      <w:r w:rsidR="006A6ECB" w:rsidRPr="00ED4A78">
        <w:rPr>
          <w:rFonts w:ascii="Arial" w:hAnsi="Arial"/>
        </w:rPr>
        <w:t xml:space="preserve">government surveys, </w:t>
      </w:r>
      <w:r w:rsidR="00C3210F" w:rsidRPr="00ED4A78">
        <w:rPr>
          <w:rFonts w:ascii="Arial" w:hAnsi="Arial"/>
        </w:rPr>
        <w:t>information shared by trade unions</w:t>
      </w:r>
    </w:p>
    <w:p w14:paraId="6E164A28" w14:textId="01EAF544" w:rsidR="006D4ED2" w:rsidRPr="00ED4A78" w:rsidRDefault="006D4ED2" w:rsidP="5380405A">
      <w:pPr>
        <w:pStyle w:val="EPMBullets"/>
        <w:numPr>
          <w:ilvl w:val="0"/>
          <w:numId w:val="0"/>
        </w:numPr>
        <w:rPr>
          <w:rFonts w:ascii="Arial" w:hAnsi="Arial"/>
        </w:rPr>
      </w:pPr>
      <w:r w:rsidRPr="00ED4A78">
        <w:rPr>
          <w:rFonts w:ascii="Arial" w:hAnsi="Arial"/>
        </w:rPr>
        <w:t>Once the factors have been identified, assess the risk of an employee</w:t>
      </w:r>
      <w:r w:rsidR="00361835" w:rsidRPr="00ED4A78">
        <w:rPr>
          <w:rFonts w:ascii="Arial" w:hAnsi="Arial"/>
        </w:rPr>
        <w:t xml:space="preserve"> being harmed and how serious it could be, as well as considering if any employees are at </w:t>
      </w:r>
      <w:r w:rsidR="00231E27" w:rsidRPr="00ED4A78">
        <w:rPr>
          <w:rFonts w:ascii="Arial" w:hAnsi="Arial"/>
        </w:rPr>
        <w:t>a greater risk.</w:t>
      </w:r>
    </w:p>
    <w:p w14:paraId="480C6AF9" w14:textId="0427C2FB" w:rsidR="007E1A57" w:rsidRPr="00ED4A78" w:rsidRDefault="004A37CD" w:rsidP="004A37CD">
      <w:pPr>
        <w:pStyle w:val="EPMBullets"/>
        <w:numPr>
          <w:ilvl w:val="0"/>
          <w:numId w:val="0"/>
        </w:numPr>
        <w:rPr>
          <w:rFonts w:ascii="Arial" w:hAnsi="Arial"/>
        </w:rPr>
      </w:pPr>
      <w:r w:rsidRPr="00ED4A78">
        <w:rPr>
          <w:rFonts w:ascii="Arial" w:hAnsi="Arial"/>
        </w:rPr>
        <w:t>Identify control measures to minimise the risks identified</w:t>
      </w:r>
      <w:r w:rsidR="007E1A57" w:rsidRPr="00ED4A78">
        <w:rPr>
          <w:rFonts w:ascii="Arial" w:hAnsi="Arial"/>
        </w:rPr>
        <w:t>. For example, this might include:</w:t>
      </w:r>
    </w:p>
    <w:p w14:paraId="614C6F91" w14:textId="44122DE2" w:rsidR="007E1A57" w:rsidRPr="00ED4A78" w:rsidRDefault="007E1A57" w:rsidP="007E1A57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>Mandatory training for all employees on Equality, Diversity and Inclusion</w:t>
      </w:r>
    </w:p>
    <w:p w14:paraId="42068B63" w14:textId="0EF07BD6" w:rsidR="00286576" w:rsidRPr="00ED4A78" w:rsidRDefault="00757C25" w:rsidP="007E1A57">
      <w:pPr>
        <w:pStyle w:val="EPMBullets"/>
        <w:rPr>
          <w:rFonts w:ascii="Arial" w:hAnsi="Arial"/>
        </w:rPr>
      </w:pPr>
      <w:r w:rsidRPr="00ED4A78">
        <w:rPr>
          <w:rFonts w:ascii="Arial" w:hAnsi="Arial"/>
        </w:rPr>
        <w:t xml:space="preserve">Raising awareness </w:t>
      </w:r>
      <w:r w:rsidR="0055509B" w:rsidRPr="00ED4A78">
        <w:rPr>
          <w:rFonts w:ascii="Arial" w:hAnsi="Arial"/>
        </w:rPr>
        <w:t xml:space="preserve">of the school/trust policy </w:t>
      </w:r>
      <w:r w:rsidR="00A815F2" w:rsidRPr="00ED4A78">
        <w:rPr>
          <w:rFonts w:ascii="Arial" w:hAnsi="Arial"/>
        </w:rPr>
        <w:t>and zero tolerance approach</w:t>
      </w:r>
    </w:p>
    <w:p w14:paraId="7C9EA8E5" w14:textId="6EE2BB8B" w:rsidR="007E1A57" w:rsidRPr="00ED4A78" w:rsidRDefault="00B469BA" w:rsidP="00286576">
      <w:pPr>
        <w:pStyle w:val="EPMBullets"/>
        <w:tabs>
          <w:tab w:val="left" w:pos="1386"/>
        </w:tabs>
        <w:rPr>
          <w:rFonts w:ascii="Arial" w:hAnsi="Arial"/>
        </w:rPr>
      </w:pPr>
      <w:r w:rsidRPr="00ED4A78">
        <w:rPr>
          <w:rFonts w:ascii="Arial" w:hAnsi="Arial"/>
        </w:rPr>
        <w:lastRenderedPageBreak/>
        <w:t xml:space="preserve">Dedicated internal or external </w:t>
      </w:r>
      <w:r w:rsidR="60D81392" w:rsidRPr="00ED4A78">
        <w:rPr>
          <w:rFonts w:ascii="Arial" w:hAnsi="Arial"/>
        </w:rPr>
        <w:t>contact</w:t>
      </w:r>
      <w:r w:rsidRPr="00ED4A78">
        <w:rPr>
          <w:rFonts w:ascii="Arial" w:hAnsi="Arial"/>
        </w:rPr>
        <w:t xml:space="preserve"> where concerns or</w:t>
      </w:r>
      <w:r w:rsidR="00F1169D" w:rsidRPr="00ED4A78">
        <w:rPr>
          <w:rFonts w:ascii="Arial" w:hAnsi="Arial"/>
        </w:rPr>
        <w:t xml:space="preserve"> complaints can be raised</w:t>
      </w:r>
    </w:p>
    <w:p w14:paraId="7E3EE6B8" w14:textId="6224DBB7" w:rsidR="00A662A1" w:rsidRDefault="00A662A1" w:rsidP="00286576">
      <w:pPr>
        <w:pStyle w:val="EPMBullets"/>
        <w:tabs>
          <w:tab w:val="left" w:pos="1386"/>
        </w:tabs>
      </w:pPr>
      <w:r w:rsidRPr="00ED4A78">
        <w:rPr>
          <w:rFonts w:ascii="Arial" w:hAnsi="Arial"/>
        </w:rPr>
        <w:t xml:space="preserve">Reminders of expectations around </w:t>
      </w:r>
      <w:proofErr w:type="gramStart"/>
      <w:r w:rsidRPr="00ED4A78">
        <w:rPr>
          <w:rFonts w:ascii="Arial" w:hAnsi="Arial"/>
        </w:rPr>
        <w:t>particular events</w:t>
      </w:r>
      <w:proofErr w:type="gramEnd"/>
    </w:p>
    <w:p w14:paraId="62A30639" w14:textId="77777777" w:rsidR="00D33B6C" w:rsidRDefault="00D33B6C" w:rsidP="00C717FC">
      <w:pPr>
        <w:pStyle w:val="EPMPageHeading"/>
        <w:sectPr w:rsidR="00D33B6C" w:rsidSect="00D33B6C">
          <w:headerReference w:type="default" r:id="rId14"/>
          <w:footerReference w:type="default" r:id="rId15"/>
          <w:pgSz w:w="16838" w:h="11906" w:orient="landscape"/>
          <w:pgMar w:top="1021" w:right="678" w:bottom="1021" w:left="851" w:header="709" w:footer="544" w:gutter="0"/>
          <w:pgNumType w:start="1"/>
          <w:cols w:space="708"/>
          <w:docGrid w:linePitch="360"/>
        </w:sectPr>
      </w:pPr>
    </w:p>
    <w:p w14:paraId="6E296F46" w14:textId="41092670" w:rsidR="00445544" w:rsidRPr="00ED4A78" w:rsidRDefault="0069160A" w:rsidP="00C717FC">
      <w:pPr>
        <w:pStyle w:val="EPMPageHeading"/>
        <w:rPr>
          <w:rFonts w:ascii="Arial" w:hAnsi="Arial"/>
          <w:b/>
          <w:bCs/>
        </w:rPr>
      </w:pPr>
      <w:r w:rsidRPr="00ED4A78">
        <w:rPr>
          <w:rStyle w:val="NumberedsubheadingChar"/>
          <w:rFonts w:ascii="Arial" w:hAnsi="Arial"/>
        </w:rPr>
        <w:lastRenderedPageBreak/>
        <w:t>[School/Trust Name]</w:t>
      </w:r>
      <w:r w:rsidRPr="00ED4A78">
        <w:rPr>
          <w:rFonts w:ascii="Arial" w:hAnsi="Arial"/>
          <w:b/>
          <w:bCs/>
        </w:rPr>
        <w:t xml:space="preserve"> Harassment and Victimisation Risk</w:t>
      </w:r>
      <w:r w:rsidR="00FA71A0" w:rsidRPr="00ED4A78">
        <w:rPr>
          <w:rFonts w:ascii="Arial" w:hAnsi="Arial"/>
          <w:b/>
          <w:bCs/>
        </w:rPr>
        <w:t xml:space="preserve"> Assessment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8363"/>
      </w:tblGrid>
      <w:tr w:rsidR="00C966FA" w:rsidRPr="0099024B" w14:paraId="7B15BF3A" w14:textId="77777777" w:rsidTr="002A3E16">
        <w:tc>
          <w:tcPr>
            <w:tcW w:w="3539" w:type="dxa"/>
            <w:shd w:val="clear" w:color="auto" w:fill="F0F0EB"/>
            <w:vAlign w:val="center"/>
          </w:tcPr>
          <w:p w14:paraId="0A6C7453" w14:textId="027F854D" w:rsidR="00C966FA" w:rsidRPr="002A3E16" w:rsidRDefault="00C966FA" w:rsidP="00AA316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Assessing Manager:</w:t>
            </w:r>
          </w:p>
        </w:tc>
        <w:tc>
          <w:tcPr>
            <w:tcW w:w="8363" w:type="dxa"/>
            <w:vAlign w:val="center"/>
          </w:tcPr>
          <w:p w14:paraId="7DB7466D" w14:textId="77777777" w:rsidR="00C966FA" w:rsidRPr="002A3E16" w:rsidRDefault="00C966FA" w:rsidP="00AA316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966FA" w:rsidRPr="0099024B" w14:paraId="4FE9CDE3" w14:textId="77777777" w:rsidTr="002A3E16">
        <w:tc>
          <w:tcPr>
            <w:tcW w:w="3539" w:type="dxa"/>
            <w:shd w:val="clear" w:color="auto" w:fill="F0F0EB"/>
            <w:vAlign w:val="center"/>
          </w:tcPr>
          <w:p w14:paraId="0C560930" w14:textId="2C642548" w:rsidR="00C966FA" w:rsidRPr="002A3E16" w:rsidRDefault="00C966FA" w:rsidP="00AA316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8363" w:type="dxa"/>
            <w:vAlign w:val="center"/>
          </w:tcPr>
          <w:p w14:paraId="5BAB2651" w14:textId="77777777" w:rsidR="00C966FA" w:rsidRPr="002A3E16" w:rsidRDefault="00C966FA" w:rsidP="00AA316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966FA" w:rsidRPr="0099024B" w14:paraId="39064B07" w14:textId="77777777" w:rsidTr="002A3E16">
        <w:tc>
          <w:tcPr>
            <w:tcW w:w="3539" w:type="dxa"/>
            <w:shd w:val="clear" w:color="auto" w:fill="F0F0EB"/>
            <w:vAlign w:val="center"/>
          </w:tcPr>
          <w:p w14:paraId="578C5CD9" w14:textId="15BBCC5D" w:rsidR="00C966FA" w:rsidRPr="002A3E16" w:rsidRDefault="00C966FA" w:rsidP="00AA316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Date of Assessment:</w:t>
            </w:r>
          </w:p>
        </w:tc>
        <w:tc>
          <w:tcPr>
            <w:tcW w:w="8363" w:type="dxa"/>
            <w:vAlign w:val="center"/>
          </w:tcPr>
          <w:p w14:paraId="3ED2D370" w14:textId="77777777" w:rsidR="00C966FA" w:rsidRPr="002A3E16" w:rsidRDefault="00C966FA" w:rsidP="00AA316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C966FA" w:rsidRPr="0099024B" w14:paraId="0CF9674C" w14:textId="77777777" w:rsidTr="002A3E16">
        <w:tc>
          <w:tcPr>
            <w:tcW w:w="3539" w:type="dxa"/>
            <w:shd w:val="clear" w:color="auto" w:fill="F0F0EB"/>
            <w:vAlign w:val="center"/>
          </w:tcPr>
          <w:p w14:paraId="41790F21" w14:textId="07498D7B" w:rsidR="00C966FA" w:rsidRPr="002A3E16" w:rsidRDefault="00C966FA" w:rsidP="00AA316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Date of Assessment:</w:t>
            </w:r>
          </w:p>
        </w:tc>
        <w:tc>
          <w:tcPr>
            <w:tcW w:w="8363" w:type="dxa"/>
            <w:vAlign w:val="center"/>
          </w:tcPr>
          <w:p w14:paraId="5C4638AF" w14:textId="77777777" w:rsidR="00C966FA" w:rsidRPr="002A3E16" w:rsidRDefault="00C966FA" w:rsidP="00AA316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0C36374" w14:textId="77777777" w:rsidR="00C966FA" w:rsidRDefault="00C966FA" w:rsidP="00ED4A78">
      <w:pPr>
        <w:pStyle w:val="EPMBullets"/>
        <w:numPr>
          <w:ilvl w:val="0"/>
          <w:numId w:val="0"/>
        </w:numPr>
      </w:pPr>
    </w:p>
    <w:tbl>
      <w:tblPr>
        <w:tblStyle w:val="TableGrid"/>
        <w:tblW w:w="148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5"/>
        <w:gridCol w:w="2180"/>
        <w:gridCol w:w="2180"/>
        <w:gridCol w:w="2180"/>
        <w:gridCol w:w="2180"/>
        <w:gridCol w:w="3924"/>
      </w:tblGrid>
      <w:tr w:rsidR="002A3E16" w:rsidRPr="0099024B" w14:paraId="6E72C1A0" w14:textId="77777777" w:rsidTr="00D92FAD">
        <w:tc>
          <w:tcPr>
            <w:tcW w:w="2235" w:type="dxa"/>
            <w:shd w:val="clear" w:color="auto" w:fill="F0F0EB"/>
            <w:vAlign w:val="center"/>
          </w:tcPr>
          <w:p w14:paraId="7612739A" w14:textId="11174163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Hazard or risk factor:</w:t>
            </w:r>
          </w:p>
        </w:tc>
        <w:tc>
          <w:tcPr>
            <w:tcW w:w="2180" w:type="dxa"/>
            <w:shd w:val="clear" w:color="auto" w:fill="F0F0EB"/>
            <w:vAlign w:val="center"/>
          </w:tcPr>
          <w:p w14:paraId="59515DCE" w14:textId="1E4DDDA9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Who might be harmed and how:</w:t>
            </w:r>
          </w:p>
        </w:tc>
        <w:tc>
          <w:tcPr>
            <w:tcW w:w="2180" w:type="dxa"/>
            <w:shd w:val="clear" w:color="auto" w:fill="F0F0EB"/>
            <w:vAlign w:val="center"/>
          </w:tcPr>
          <w:p w14:paraId="02D41695" w14:textId="28E9BC17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What is already in place to control the risks:</w:t>
            </w:r>
          </w:p>
        </w:tc>
        <w:tc>
          <w:tcPr>
            <w:tcW w:w="2180" w:type="dxa"/>
            <w:shd w:val="clear" w:color="auto" w:fill="F0F0EB"/>
            <w:vAlign w:val="center"/>
          </w:tcPr>
          <w:p w14:paraId="028809EE" w14:textId="6AFA07B1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What further action is needed:</w:t>
            </w:r>
          </w:p>
        </w:tc>
        <w:tc>
          <w:tcPr>
            <w:tcW w:w="2180" w:type="dxa"/>
            <w:shd w:val="clear" w:color="auto" w:fill="F0F0EB"/>
            <w:vAlign w:val="center"/>
          </w:tcPr>
          <w:p w14:paraId="0B3F9E6B" w14:textId="6D35C2DC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 xml:space="preserve">By </w:t>
            </w:r>
            <w:proofErr w:type="gramStart"/>
            <w:r w:rsidRPr="002A3E16">
              <w:rPr>
                <w:b/>
                <w:bCs/>
                <w:sz w:val="22"/>
                <w:szCs w:val="22"/>
              </w:rPr>
              <w:t>who</w:t>
            </w:r>
            <w:proofErr w:type="gramEnd"/>
            <w:r w:rsidRPr="002A3E16">
              <w:rPr>
                <w:b/>
                <w:bCs/>
                <w:sz w:val="22"/>
                <w:szCs w:val="22"/>
              </w:rPr>
              <w:t xml:space="preserve"> and when:</w:t>
            </w:r>
          </w:p>
        </w:tc>
        <w:tc>
          <w:tcPr>
            <w:tcW w:w="3924" w:type="dxa"/>
            <w:shd w:val="clear" w:color="auto" w:fill="F0F0EB"/>
            <w:vAlign w:val="center"/>
          </w:tcPr>
          <w:p w14:paraId="3CE9BFE0" w14:textId="3580E90E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  <w:r w:rsidRPr="002A3E16">
              <w:rPr>
                <w:b/>
                <w:bCs/>
                <w:sz w:val="22"/>
                <w:szCs w:val="22"/>
              </w:rPr>
              <w:t>Monitoring and review:</w:t>
            </w:r>
          </w:p>
        </w:tc>
      </w:tr>
      <w:tr w:rsidR="002A3E16" w:rsidRPr="0099024B" w14:paraId="10CC585B" w14:textId="77777777" w:rsidTr="002A3E16">
        <w:tc>
          <w:tcPr>
            <w:tcW w:w="2235" w:type="dxa"/>
            <w:shd w:val="clear" w:color="auto" w:fill="auto"/>
          </w:tcPr>
          <w:p w14:paraId="437AFB61" w14:textId="361689DA" w:rsidR="002A3E16" w:rsidRPr="00B470E3" w:rsidRDefault="002A3E16" w:rsidP="00B470E3">
            <w:pPr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Power imbalances</w:t>
            </w:r>
          </w:p>
        </w:tc>
        <w:tc>
          <w:tcPr>
            <w:tcW w:w="2180" w:type="dxa"/>
          </w:tcPr>
          <w:p w14:paraId="19B3465E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New starters, trainees, junior staff, vulnerable workers</w:t>
            </w:r>
          </w:p>
          <w:p w14:paraId="2F7F0E4D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Experience harassment by a more senior colleague</w:t>
            </w:r>
          </w:p>
          <w:p w14:paraId="6600803C" w14:textId="5E964C0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Effect on mental health</w:t>
            </w:r>
          </w:p>
        </w:tc>
        <w:tc>
          <w:tcPr>
            <w:tcW w:w="2180" w:type="dxa"/>
          </w:tcPr>
          <w:p w14:paraId="6E30CB8E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i/>
                <w:iCs/>
                <w:sz w:val="20"/>
                <w:szCs w:val="20"/>
              </w:rPr>
              <w:t>DEI Policy, Anti-Bullying and Harassment Policy and Code of Conduct readily available.</w:t>
            </w:r>
          </w:p>
          <w:p w14:paraId="089CF012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Training at induction and regular updates.</w:t>
            </w:r>
          </w:p>
          <w:p w14:paraId="683D941E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Buddy scheme for new joiners.</w:t>
            </w:r>
          </w:p>
          <w:p w14:paraId="3ED2A872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>Confidential reporting process in place.</w:t>
            </w:r>
          </w:p>
          <w:p w14:paraId="5EBA0AC8" w14:textId="149F8FAA" w:rsidR="002A3E16" w:rsidRPr="00B470E3" w:rsidRDefault="002A3E16" w:rsidP="00B470E3">
            <w:pPr>
              <w:spacing w:before="60" w:after="60" w:line="288" w:lineRule="auto"/>
              <w:rPr>
                <w:sz w:val="20"/>
                <w:szCs w:val="20"/>
              </w:rPr>
            </w:pPr>
            <w:r w:rsidRPr="00B470E3">
              <w:rPr>
                <w:rFonts w:cs="Arial"/>
                <w:bCs/>
                <w:i/>
                <w:iCs/>
                <w:sz w:val="20"/>
                <w:szCs w:val="20"/>
              </w:rPr>
              <w:t xml:space="preserve">EAP scheme. </w:t>
            </w:r>
          </w:p>
        </w:tc>
        <w:tc>
          <w:tcPr>
            <w:tcW w:w="2180" w:type="dxa"/>
          </w:tcPr>
          <w:p w14:paraId="48572182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i/>
                <w:iCs/>
                <w:sz w:val="20"/>
                <w:szCs w:val="20"/>
              </w:rPr>
              <w:t>Further signposting of policies and reporting process.</w:t>
            </w:r>
          </w:p>
          <w:p w14:paraId="007A3021" w14:textId="77777777" w:rsidR="002A3E16" w:rsidRPr="00B470E3" w:rsidRDefault="002A3E16" w:rsidP="00B470E3">
            <w:pPr>
              <w:spacing w:before="60" w:after="60" w:line="288" w:lineRule="auto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B470E3">
              <w:rPr>
                <w:rFonts w:cs="Arial"/>
                <w:i/>
                <w:iCs/>
                <w:sz w:val="20"/>
                <w:szCs w:val="20"/>
              </w:rPr>
              <w:t>Further signposting of EAP scheme.</w:t>
            </w:r>
          </w:p>
          <w:p w14:paraId="1968174A" w14:textId="739C10F4" w:rsidR="002A3E16" w:rsidRPr="00B470E3" w:rsidRDefault="002A3E16" w:rsidP="00B470E3">
            <w:pPr>
              <w:spacing w:before="60" w:after="60" w:line="288" w:lineRule="auto"/>
              <w:rPr>
                <w:sz w:val="20"/>
                <w:szCs w:val="20"/>
              </w:rPr>
            </w:pPr>
            <w:r w:rsidRPr="00B470E3">
              <w:rPr>
                <w:rFonts w:cs="Arial"/>
                <w:i/>
                <w:iCs/>
                <w:sz w:val="20"/>
                <w:szCs w:val="20"/>
              </w:rPr>
              <w:t xml:space="preserve">Facilitating / encouraging set up of employee resource / support groups for </w:t>
            </w:r>
            <w:proofErr w:type="gramStart"/>
            <w:r w:rsidRPr="00B470E3">
              <w:rPr>
                <w:rFonts w:cs="Arial"/>
                <w:i/>
                <w:iCs/>
                <w:sz w:val="20"/>
                <w:szCs w:val="20"/>
              </w:rPr>
              <w:t>particular groups</w:t>
            </w:r>
            <w:proofErr w:type="gramEnd"/>
            <w:r w:rsidRPr="00B470E3">
              <w:rPr>
                <w:rFonts w:cs="Arial"/>
                <w:i/>
                <w:iCs/>
                <w:sz w:val="20"/>
                <w:szCs w:val="20"/>
              </w:rPr>
              <w:t xml:space="preserve"> of people.</w:t>
            </w:r>
          </w:p>
        </w:tc>
        <w:tc>
          <w:tcPr>
            <w:tcW w:w="2180" w:type="dxa"/>
          </w:tcPr>
          <w:p w14:paraId="159EECE4" w14:textId="60B1A086" w:rsidR="002A3E16" w:rsidRPr="00B470E3" w:rsidRDefault="002A3E16" w:rsidP="00B470E3">
            <w:pPr>
              <w:spacing w:before="60" w:after="60" w:line="288" w:lineRule="auto"/>
              <w:rPr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600A9393" w14:textId="0C7F95B5" w:rsidR="002A3E16" w:rsidRPr="00B470E3" w:rsidRDefault="002A3E16" w:rsidP="00B470E3">
            <w:pPr>
              <w:spacing w:before="60" w:after="60" w:line="288" w:lineRule="auto"/>
              <w:rPr>
                <w:sz w:val="20"/>
                <w:szCs w:val="20"/>
              </w:rPr>
            </w:pPr>
          </w:p>
        </w:tc>
      </w:tr>
      <w:tr w:rsidR="002A3E16" w:rsidRPr="0099024B" w14:paraId="7ACC7067" w14:textId="77777777" w:rsidTr="002A3E16">
        <w:tc>
          <w:tcPr>
            <w:tcW w:w="2235" w:type="dxa"/>
            <w:shd w:val="clear" w:color="auto" w:fill="auto"/>
            <w:vAlign w:val="center"/>
          </w:tcPr>
          <w:p w14:paraId="0A664865" w14:textId="2B78BFC6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</w:tcPr>
          <w:p w14:paraId="6DF062FB" w14:textId="77777777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AEE863E" w14:textId="77777777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C21A87" w14:textId="178F9908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EAAFDB4" w14:textId="560D13EC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10F3FA0D" w14:textId="3E8064E2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</w:tr>
      <w:tr w:rsidR="002A3E16" w:rsidRPr="0099024B" w14:paraId="19219741" w14:textId="77777777" w:rsidTr="002A3E16">
        <w:tc>
          <w:tcPr>
            <w:tcW w:w="2235" w:type="dxa"/>
            <w:shd w:val="clear" w:color="auto" w:fill="auto"/>
            <w:vAlign w:val="center"/>
          </w:tcPr>
          <w:p w14:paraId="10011BA7" w14:textId="5261D3A3" w:rsidR="002A3E16" w:rsidRPr="002A3E16" w:rsidRDefault="002A3E16" w:rsidP="00B470E3">
            <w:pPr>
              <w:spacing w:before="60" w:after="60" w:line="288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</w:tcPr>
          <w:p w14:paraId="28318405" w14:textId="77777777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D4BDE19" w14:textId="77777777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050EFBCA" w14:textId="353C81C9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F072D57" w14:textId="6CEAC185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158E8F71" w14:textId="01D838C9" w:rsidR="002A3E16" w:rsidRPr="002A3E16" w:rsidRDefault="002A3E16" w:rsidP="00B470E3">
            <w:pPr>
              <w:spacing w:before="60" w:after="60" w:line="288" w:lineRule="auto"/>
              <w:rPr>
                <w:sz w:val="22"/>
                <w:szCs w:val="22"/>
              </w:rPr>
            </w:pPr>
          </w:p>
        </w:tc>
      </w:tr>
    </w:tbl>
    <w:p w14:paraId="75970A22" w14:textId="77777777" w:rsidR="008E2E7B" w:rsidRDefault="008E2E7B" w:rsidP="006E4269">
      <w:pPr>
        <w:pStyle w:val="EPMBullets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8363"/>
      </w:tblGrid>
      <w:tr w:rsidR="008E2E7B" w:rsidRPr="0099024B" w14:paraId="7EDD8C2C" w14:textId="77777777" w:rsidTr="00ED4A78">
        <w:tc>
          <w:tcPr>
            <w:tcW w:w="3539" w:type="dxa"/>
            <w:shd w:val="clear" w:color="auto" w:fill="F0F0EB"/>
            <w:vAlign w:val="center"/>
          </w:tcPr>
          <w:p w14:paraId="60B4E488" w14:textId="0AA6E98F" w:rsidR="008E2E7B" w:rsidRPr="00ED4A78" w:rsidRDefault="008E2E7B" w:rsidP="008E2E7B">
            <w:pPr>
              <w:pStyle w:val="EPMFormText"/>
              <w:spacing w:before="60" w:after="60"/>
              <w:rPr>
                <w:rFonts w:ascii="Arial" w:hAnsi="Arial" w:cstheme="minorBidi"/>
                <w:b/>
                <w:bCs/>
                <w:sz w:val="22"/>
                <w:szCs w:val="22"/>
              </w:rPr>
            </w:pPr>
            <w:r w:rsidRPr="00ED4A78">
              <w:rPr>
                <w:rFonts w:ascii="Arial" w:hAnsi="Arial" w:cstheme="minorBidi"/>
                <w:b/>
                <w:bCs/>
                <w:sz w:val="22"/>
                <w:szCs w:val="22"/>
              </w:rPr>
              <w:t>Assessing Manager Si</w:t>
            </w:r>
            <w:r w:rsidRPr="00ED4A78">
              <w:rPr>
                <w:rFonts w:ascii="Arial" w:hAnsi="Arial" w:cstheme="minorBidi"/>
                <w:b/>
                <w:bCs/>
                <w:sz w:val="22"/>
                <w:szCs w:val="22"/>
              </w:rPr>
              <w:t>gnature:</w:t>
            </w:r>
          </w:p>
        </w:tc>
        <w:tc>
          <w:tcPr>
            <w:tcW w:w="8363" w:type="dxa"/>
            <w:vAlign w:val="center"/>
          </w:tcPr>
          <w:p w14:paraId="16B0273A" w14:textId="77777777" w:rsidR="008E2E7B" w:rsidRPr="00035333" w:rsidRDefault="008E2E7B" w:rsidP="00ED4A78">
            <w:pPr>
              <w:spacing w:before="60" w:after="60"/>
              <w:rPr>
                <w:rFonts w:ascii="Avenir Next LT Pro Light" w:hAnsi="Avenir Next LT Pro Light"/>
              </w:rPr>
            </w:pPr>
          </w:p>
        </w:tc>
      </w:tr>
    </w:tbl>
    <w:p w14:paraId="70E6C8DE" w14:textId="77777777" w:rsidR="008E2E7B" w:rsidRDefault="008E2E7B" w:rsidP="00ED4A78">
      <w:pPr>
        <w:pStyle w:val="EPMBullets"/>
        <w:numPr>
          <w:ilvl w:val="0"/>
          <w:numId w:val="0"/>
        </w:numPr>
      </w:pPr>
    </w:p>
    <w:sectPr w:rsidR="008E2E7B" w:rsidSect="007F406F">
      <w:headerReference w:type="default" r:id="rId16"/>
      <w:footerReference w:type="default" r:id="rId17"/>
      <w:pgSz w:w="16838" w:h="11906" w:orient="landscape"/>
      <w:pgMar w:top="1021" w:right="2842" w:bottom="1021" w:left="85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19D53" w14:textId="77777777" w:rsidR="00083F81" w:rsidRDefault="00083F81" w:rsidP="002C1565">
      <w:r>
        <w:separator/>
      </w:r>
    </w:p>
  </w:endnote>
  <w:endnote w:type="continuationSeparator" w:id="0">
    <w:p w14:paraId="42FF4891" w14:textId="77777777" w:rsidR="00083F81" w:rsidRDefault="00083F81" w:rsidP="002C1565">
      <w:r>
        <w:continuationSeparator/>
      </w:r>
    </w:p>
  </w:endnote>
  <w:endnote w:type="continuationNotice" w:id="1">
    <w:p w14:paraId="635F8433" w14:textId="77777777" w:rsidR="00083F81" w:rsidRDefault="00083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3227A" w14:textId="078C36EF" w:rsidR="00F17EA3" w:rsidRPr="003E3987" w:rsidRDefault="00F17EA3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52969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5F3DBFF" w14:textId="77777777" w:rsidR="00DD7009" w:rsidRPr="00B3029C" w:rsidRDefault="00DD7009" w:rsidP="00B3029C">
        <w:pPr>
          <w:pStyle w:val="Footer"/>
          <w:rPr>
            <w:sz w:val="16"/>
            <w:szCs w:val="16"/>
          </w:rPr>
        </w:pPr>
        <w:r w:rsidRPr="00B3029C">
          <w:rPr>
            <w:sz w:val="16"/>
            <w:szCs w:val="16"/>
          </w:rPr>
          <w:fldChar w:fldCharType="begin"/>
        </w:r>
        <w:r w:rsidRPr="00B3029C">
          <w:rPr>
            <w:sz w:val="16"/>
            <w:szCs w:val="16"/>
          </w:rPr>
          <w:instrText xml:space="preserve"> PAGE   \* MERGEFORMAT </w:instrText>
        </w:r>
        <w:r w:rsidRPr="00B3029C">
          <w:rPr>
            <w:sz w:val="16"/>
            <w:szCs w:val="16"/>
          </w:rPr>
          <w:fldChar w:fldCharType="separate"/>
        </w:r>
        <w:r w:rsidRPr="00B3029C">
          <w:rPr>
            <w:noProof/>
            <w:sz w:val="16"/>
            <w:szCs w:val="16"/>
          </w:rPr>
          <w:t>2</w:t>
        </w:r>
        <w:r w:rsidRPr="00B3029C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E778" w14:textId="4E15BB00" w:rsidR="00F13DD1" w:rsidRPr="006E4269" w:rsidRDefault="00F13DD1" w:rsidP="006E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7786E" w14:textId="77777777" w:rsidR="00083F81" w:rsidRDefault="00083F81" w:rsidP="002C1565">
      <w:r>
        <w:separator/>
      </w:r>
    </w:p>
  </w:footnote>
  <w:footnote w:type="continuationSeparator" w:id="0">
    <w:p w14:paraId="38241EB2" w14:textId="77777777" w:rsidR="00083F81" w:rsidRDefault="00083F81" w:rsidP="002C1565">
      <w:r>
        <w:continuationSeparator/>
      </w:r>
    </w:p>
  </w:footnote>
  <w:footnote w:type="continuationNotice" w:id="1">
    <w:p w14:paraId="769C65A3" w14:textId="77777777" w:rsidR="00083F81" w:rsidRDefault="00083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182C" w14:textId="77777777" w:rsidR="00DD7009" w:rsidRPr="00274850" w:rsidRDefault="00DD7009" w:rsidP="0027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A2248" w14:textId="4B6EDC37" w:rsidR="00F13DD1" w:rsidRDefault="00F13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49BC"/>
    <w:multiLevelType w:val="multilevel"/>
    <w:tmpl w:val="8AFC5C54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EPM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EPM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B7FE1AD8"/>
    <w:lvl w:ilvl="0" w:tplc="288272F0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4155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47A"/>
    <w:multiLevelType w:val="hybridMultilevel"/>
    <w:tmpl w:val="267E257C"/>
    <w:lvl w:ilvl="0" w:tplc="65DC183A">
      <w:start w:val="21"/>
      <w:numFmt w:val="bullet"/>
      <w:pStyle w:val="EPMBullets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148397A"/>
    <w:multiLevelType w:val="hybridMultilevel"/>
    <w:tmpl w:val="751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4540528">
    <w:abstractNumId w:val="8"/>
  </w:num>
  <w:num w:numId="2" w16cid:durableId="1364211866">
    <w:abstractNumId w:val="4"/>
  </w:num>
  <w:num w:numId="3" w16cid:durableId="603729848">
    <w:abstractNumId w:val="10"/>
  </w:num>
  <w:num w:numId="4" w16cid:durableId="773355512">
    <w:abstractNumId w:val="3"/>
  </w:num>
  <w:num w:numId="5" w16cid:durableId="1759406275">
    <w:abstractNumId w:val="9"/>
  </w:num>
  <w:num w:numId="6" w16cid:durableId="241258015">
    <w:abstractNumId w:val="1"/>
  </w:num>
  <w:num w:numId="7" w16cid:durableId="1267693963">
    <w:abstractNumId w:val="12"/>
  </w:num>
  <w:num w:numId="8" w16cid:durableId="14431850">
    <w:abstractNumId w:val="5"/>
  </w:num>
  <w:num w:numId="9" w16cid:durableId="14967319">
    <w:abstractNumId w:val="2"/>
  </w:num>
  <w:num w:numId="10" w16cid:durableId="1462842165">
    <w:abstractNumId w:val="7"/>
  </w:num>
  <w:num w:numId="11" w16cid:durableId="1658027920">
    <w:abstractNumId w:val="6"/>
  </w:num>
  <w:num w:numId="12" w16cid:durableId="169949997">
    <w:abstractNumId w:val="0"/>
  </w:num>
  <w:num w:numId="13" w16cid:durableId="868950016">
    <w:abstractNumId w:val="2"/>
    <w:lvlOverride w:ilvl="0">
      <w:startOverride w:val="1"/>
    </w:lvlOverride>
  </w:num>
  <w:num w:numId="14" w16cid:durableId="1415666706">
    <w:abstractNumId w:val="11"/>
  </w:num>
  <w:num w:numId="15" w16cid:durableId="185888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DMysTQztbA0NDZQ0lEKTi0uzszPAykwqQUAPtyZpSwAAAA="/>
  </w:docVars>
  <w:rsids>
    <w:rsidRoot w:val="002C1565"/>
    <w:rsid w:val="00003F42"/>
    <w:rsid w:val="0000406C"/>
    <w:rsid w:val="00005427"/>
    <w:rsid w:val="00011344"/>
    <w:rsid w:val="000318E8"/>
    <w:rsid w:val="00031F87"/>
    <w:rsid w:val="00035A22"/>
    <w:rsid w:val="000403BC"/>
    <w:rsid w:val="00050126"/>
    <w:rsid w:val="000516BA"/>
    <w:rsid w:val="0006767E"/>
    <w:rsid w:val="00083F81"/>
    <w:rsid w:val="00084603"/>
    <w:rsid w:val="0009522C"/>
    <w:rsid w:val="00097C60"/>
    <w:rsid w:val="000A68CD"/>
    <w:rsid w:val="000A74C8"/>
    <w:rsid w:val="000C22E2"/>
    <w:rsid w:val="000C3D4D"/>
    <w:rsid w:val="000C4197"/>
    <w:rsid w:val="000C550A"/>
    <w:rsid w:val="000C7EAD"/>
    <w:rsid w:val="000D26FC"/>
    <w:rsid w:val="000D5656"/>
    <w:rsid w:val="000E3000"/>
    <w:rsid w:val="000E451D"/>
    <w:rsid w:val="000E74DD"/>
    <w:rsid w:val="000F4854"/>
    <w:rsid w:val="000F534B"/>
    <w:rsid w:val="000F663D"/>
    <w:rsid w:val="001034A3"/>
    <w:rsid w:val="00104CDE"/>
    <w:rsid w:val="00105E6D"/>
    <w:rsid w:val="001167D9"/>
    <w:rsid w:val="00116B7E"/>
    <w:rsid w:val="00123D63"/>
    <w:rsid w:val="00126CB2"/>
    <w:rsid w:val="001372BA"/>
    <w:rsid w:val="00141DF9"/>
    <w:rsid w:val="00144CAB"/>
    <w:rsid w:val="0015282E"/>
    <w:rsid w:val="00152B97"/>
    <w:rsid w:val="00160C0C"/>
    <w:rsid w:val="00166853"/>
    <w:rsid w:val="0017047C"/>
    <w:rsid w:val="00176E45"/>
    <w:rsid w:val="00177F73"/>
    <w:rsid w:val="00182616"/>
    <w:rsid w:val="0019636F"/>
    <w:rsid w:val="001A088F"/>
    <w:rsid w:val="001A2AC8"/>
    <w:rsid w:val="001A4BE4"/>
    <w:rsid w:val="001C2417"/>
    <w:rsid w:val="001C5D32"/>
    <w:rsid w:val="001D0B32"/>
    <w:rsid w:val="001D7343"/>
    <w:rsid w:val="001F67F6"/>
    <w:rsid w:val="001F77EA"/>
    <w:rsid w:val="0020298E"/>
    <w:rsid w:val="00206D2E"/>
    <w:rsid w:val="00211462"/>
    <w:rsid w:val="00211B0E"/>
    <w:rsid w:val="00215036"/>
    <w:rsid w:val="00221A11"/>
    <w:rsid w:val="00231E27"/>
    <w:rsid w:val="002413F4"/>
    <w:rsid w:val="00242A77"/>
    <w:rsid w:val="00245221"/>
    <w:rsid w:val="00245ACB"/>
    <w:rsid w:val="00272116"/>
    <w:rsid w:val="00280D8F"/>
    <w:rsid w:val="00281C6C"/>
    <w:rsid w:val="002831F4"/>
    <w:rsid w:val="00284B6B"/>
    <w:rsid w:val="00286576"/>
    <w:rsid w:val="0029123A"/>
    <w:rsid w:val="002933BD"/>
    <w:rsid w:val="00294029"/>
    <w:rsid w:val="00297E29"/>
    <w:rsid w:val="002A3E16"/>
    <w:rsid w:val="002C1565"/>
    <w:rsid w:val="002D14D4"/>
    <w:rsid w:val="002D4750"/>
    <w:rsid w:val="002D4A9C"/>
    <w:rsid w:val="002D7A72"/>
    <w:rsid w:val="002F4BA1"/>
    <w:rsid w:val="002F6DED"/>
    <w:rsid w:val="00300129"/>
    <w:rsid w:val="00301F50"/>
    <w:rsid w:val="00303660"/>
    <w:rsid w:val="00304673"/>
    <w:rsid w:val="0033140E"/>
    <w:rsid w:val="00333FB0"/>
    <w:rsid w:val="00355D2D"/>
    <w:rsid w:val="00361835"/>
    <w:rsid w:val="00366CF6"/>
    <w:rsid w:val="0037093C"/>
    <w:rsid w:val="00370FBC"/>
    <w:rsid w:val="00381344"/>
    <w:rsid w:val="0039552F"/>
    <w:rsid w:val="003A4408"/>
    <w:rsid w:val="003A79E8"/>
    <w:rsid w:val="003B3F9E"/>
    <w:rsid w:val="003B54D7"/>
    <w:rsid w:val="003B6929"/>
    <w:rsid w:val="003C478F"/>
    <w:rsid w:val="003C76A1"/>
    <w:rsid w:val="003E3987"/>
    <w:rsid w:val="00407931"/>
    <w:rsid w:val="00411C71"/>
    <w:rsid w:val="00415500"/>
    <w:rsid w:val="00416B88"/>
    <w:rsid w:val="00421226"/>
    <w:rsid w:val="00421BB3"/>
    <w:rsid w:val="004325D1"/>
    <w:rsid w:val="00432C7B"/>
    <w:rsid w:val="00436A9B"/>
    <w:rsid w:val="00436BCB"/>
    <w:rsid w:val="00440E43"/>
    <w:rsid w:val="00444D4D"/>
    <w:rsid w:val="00445544"/>
    <w:rsid w:val="00451E04"/>
    <w:rsid w:val="004617EE"/>
    <w:rsid w:val="004626FA"/>
    <w:rsid w:val="004651D2"/>
    <w:rsid w:val="00465697"/>
    <w:rsid w:val="00465834"/>
    <w:rsid w:val="00476C36"/>
    <w:rsid w:val="004775C3"/>
    <w:rsid w:val="00490900"/>
    <w:rsid w:val="00493A9A"/>
    <w:rsid w:val="00496D42"/>
    <w:rsid w:val="004A37CD"/>
    <w:rsid w:val="004A3A16"/>
    <w:rsid w:val="004A770E"/>
    <w:rsid w:val="004B06D6"/>
    <w:rsid w:val="004B47B7"/>
    <w:rsid w:val="004C1CAE"/>
    <w:rsid w:val="004C7329"/>
    <w:rsid w:val="004D537E"/>
    <w:rsid w:val="004E2C9B"/>
    <w:rsid w:val="004E7BA0"/>
    <w:rsid w:val="004F1F39"/>
    <w:rsid w:val="00506287"/>
    <w:rsid w:val="00506D75"/>
    <w:rsid w:val="00510E8D"/>
    <w:rsid w:val="0051619C"/>
    <w:rsid w:val="00521A64"/>
    <w:rsid w:val="005232FF"/>
    <w:rsid w:val="005362C0"/>
    <w:rsid w:val="00540F40"/>
    <w:rsid w:val="00547D8D"/>
    <w:rsid w:val="00553C6C"/>
    <w:rsid w:val="0055509B"/>
    <w:rsid w:val="00555310"/>
    <w:rsid w:val="0055777F"/>
    <w:rsid w:val="00561740"/>
    <w:rsid w:val="00563452"/>
    <w:rsid w:val="005641E8"/>
    <w:rsid w:val="00564E1B"/>
    <w:rsid w:val="00590999"/>
    <w:rsid w:val="00591CA9"/>
    <w:rsid w:val="005C31B6"/>
    <w:rsid w:val="005C769F"/>
    <w:rsid w:val="005D41DB"/>
    <w:rsid w:val="005E3053"/>
    <w:rsid w:val="005E3AE2"/>
    <w:rsid w:val="005E4357"/>
    <w:rsid w:val="005E5ADD"/>
    <w:rsid w:val="005E6315"/>
    <w:rsid w:val="005F48DA"/>
    <w:rsid w:val="005F4A9C"/>
    <w:rsid w:val="006032A2"/>
    <w:rsid w:val="00604094"/>
    <w:rsid w:val="00604313"/>
    <w:rsid w:val="00616593"/>
    <w:rsid w:val="00621B0F"/>
    <w:rsid w:val="006231C8"/>
    <w:rsid w:val="00634946"/>
    <w:rsid w:val="006403C7"/>
    <w:rsid w:val="00642B63"/>
    <w:rsid w:val="0066050F"/>
    <w:rsid w:val="00666C8A"/>
    <w:rsid w:val="0067186A"/>
    <w:rsid w:val="00677B3E"/>
    <w:rsid w:val="00680B45"/>
    <w:rsid w:val="00681551"/>
    <w:rsid w:val="006823DB"/>
    <w:rsid w:val="006842B8"/>
    <w:rsid w:val="0069160A"/>
    <w:rsid w:val="006A44CE"/>
    <w:rsid w:val="006A6ECB"/>
    <w:rsid w:val="006A7BC7"/>
    <w:rsid w:val="006B0537"/>
    <w:rsid w:val="006B21DC"/>
    <w:rsid w:val="006B6B67"/>
    <w:rsid w:val="006D4ED2"/>
    <w:rsid w:val="006E4269"/>
    <w:rsid w:val="006E4EF2"/>
    <w:rsid w:val="006E7D8B"/>
    <w:rsid w:val="006F4E90"/>
    <w:rsid w:val="00710AB0"/>
    <w:rsid w:val="007271F1"/>
    <w:rsid w:val="0073519D"/>
    <w:rsid w:val="00750208"/>
    <w:rsid w:val="007527F3"/>
    <w:rsid w:val="00756C21"/>
    <w:rsid w:val="00757C25"/>
    <w:rsid w:val="00763D8B"/>
    <w:rsid w:val="0077514E"/>
    <w:rsid w:val="00783EFE"/>
    <w:rsid w:val="0078680D"/>
    <w:rsid w:val="00792773"/>
    <w:rsid w:val="007C2D6A"/>
    <w:rsid w:val="007C3693"/>
    <w:rsid w:val="007C4976"/>
    <w:rsid w:val="007D0C8A"/>
    <w:rsid w:val="007D1046"/>
    <w:rsid w:val="007D65F6"/>
    <w:rsid w:val="007E01AA"/>
    <w:rsid w:val="007E0633"/>
    <w:rsid w:val="007E1A57"/>
    <w:rsid w:val="007E2FF9"/>
    <w:rsid w:val="007E4B86"/>
    <w:rsid w:val="007E7572"/>
    <w:rsid w:val="007F1F52"/>
    <w:rsid w:val="007F406F"/>
    <w:rsid w:val="00813101"/>
    <w:rsid w:val="008165DC"/>
    <w:rsid w:val="00816ACA"/>
    <w:rsid w:val="00827C05"/>
    <w:rsid w:val="0083420A"/>
    <w:rsid w:val="008379A5"/>
    <w:rsid w:val="00854B92"/>
    <w:rsid w:val="008566A6"/>
    <w:rsid w:val="00860FF3"/>
    <w:rsid w:val="0086235B"/>
    <w:rsid w:val="00871A61"/>
    <w:rsid w:val="008732AA"/>
    <w:rsid w:val="00874AE0"/>
    <w:rsid w:val="008804A2"/>
    <w:rsid w:val="0089000D"/>
    <w:rsid w:val="008931FD"/>
    <w:rsid w:val="0089463B"/>
    <w:rsid w:val="0089717B"/>
    <w:rsid w:val="00897ED5"/>
    <w:rsid w:val="008A5EFC"/>
    <w:rsid w:val="008B6C81"/>
    <w:rsid w:val="008C0364"/>
    <w:rsid w:val="008C18C5"/>
    <w:rsid w:val="008C656A"/>
    <w:rsid w:val="008D3835"/>
    <w:rsid w:val="008D3DBD"/>
    <w:rsid w:val="008E2E7B"/>
    <w:rsid w:val="008F0F87"/>
    <w:rsid w:val="008F1ABC"/>
    <w:rsid w:val="00900C4E"/>
    <w:rsid w:val="00902A07"/>
    <w:rsid w:val="009035D2"/>
    <w:rsid w:val="00903E03"/>
    <w:rsid w:val="00905237"/>
    <w:rsid w:val="00906F6C"/>
    <w:rsid w:val="009104C1"/>
    <w:rsid w:val="00922D59"/>
    <w:rsid w:val="00925343"/>
    <w:rsid w:val="00931AF6"/>
    <w:rsid w:val="00932C14"/>
    <w:rsid w:val="00940499"/>
    <w:rsid w:val="0094173E"/>
    <w:rsid w:val="00942D0B"/>
    <w:rsid w:val="00945C3A"/>
    <w:rsid w:val="00950414"/>
    <w:rsid w:val="00975D06"/>
    <w:rsid w:val="009802A7"/>
    <w:rsid w:val="00980C0E"/>
    <w:rsid w:val="00993A49"/>
    <w:rsid w:val="009A218D"/>
    <w:rsid w:val="009A3603"/>
    <w:rsid w:val="009A6654"/>
    <w:rsid w:val="009B46A1"/>
    <w:rsid w:val="009D15E7"/>
    <w:rsid w:val="009D2D60"/>
    <w:rsid w:val="009E479C"/>
    <w:rsid w:val="009F46DB"/>
    <w:rsid w:val="00A00491"/>
    <w:rsid w:val="00A10122"/>
    <w:rsid w:val="00A13841"/>
    <w:rsid w:val="00A17C56"/>
    <w:rsid w:val="00A279F2"/>
    <w:rsid w:val="00A42D1C"/>
    <w:rsid w:val="00A45EF5"/>
    <w:rsid w:val="00A56814"/>
    <w:rsid w:val="00A662A1"/>
    <w:rsid w:val="00A66B9A"/>
    <w:rsid w:val="00A7476D"/>
    <w:rsid w:val="00A7502D"/>
    <w:rsid w:val="00A815F2"/>
    <w:rsid w:val="00A85732"/>
    <w:rsid w:val="00A85F2D"/>
    <w:rsid w:val="00A905D0"/>
    <w:rsid w:val="00A965A0"/>
    <w:rsid w:val="00AA1327"/>
    <w:rsid w:val="00AA3169"/>
    <w:rsid w:val="00AA51F6"/>
    <w:rsid w:val="00AC141D"/>
    <w:rsid w:val="00AC28AD"/>
    <w:rsid w:val="00AC7A48"/>
    <w:rsid w:val="00AD0DE2"/>
    <w:rsid w:val="00AD19AB"/>
    <w:rsid w:val="00AD6604"/>
    <w:rsid w:val="00AD7D2F"/>
    <w:rsid w:val="00AE2D2C"/>
    <w:rsid w:val="00AE371E"/>
    <w:rsid w:val="00AF20C2"/>
    <w:rsid w:val="00B03004"/>
    <w:rsid w:val="00B0644B"/>
    <w:rsid w:val="00B1216B"/>
    <w:rsid w:val="00B124B7"/>
    <w:rsid w:val="00B16C6E"/>
    <w:rsid w:val="00B305EE"/>
    <w:rsid w:val="00B32E0C"/>
    <w:rsid w:val="00B33BCE"/>
    <w:rsid w:val="00B341CB"/>
    <w:rsid w:val="00B42C65"/>
    <w:rsid w:val="00B44D47"/>
    <w:rsid w:val="00B469BA"/>
    <w:rsid w:val="00B470E3"/>
    <w:rsid w:val="00B521BB"/>
    <w:rsid w:val="00B52414"/>
    <w:rsid w:val="00B53BDF"/>
    <w:rsid w:val="00B57307"/>
    <w:rsid w:val="00B6222B"/>
    <w:rsid w:val="00B66E73"/>
    <w:rsid w:val="00B67BFC"/>
    <w:rsid w:val="00B86FCC"/>
    <w:rsid w:val="00B93939"/>
    <w:rsid w:val="00B95A1D"/>
    <w:rsid w:val="00BA2D0A"/>
    <w:rsid w:val="00BB3C7A"/>
    <w:rsid w:val="00BB7171"/>
    <w:rsid w:val="00BC7D74"/>
    <w:rsid w:val="00BD195D"/>
    <w:rsid w:val="00C01CF6"/>
    <w:rsid w:val="00C128F8"/>
    <w:rsid w:val="00C22AB0"/>
    <w:rsid w:val="00C3210F"/>
    <w:rsid w:val="00C36056"/>
    <w:rsid w:val="00C377B1"/>
    <w:rsid w:val="00C529CB"/>
    <w:rsid w:val="00C62CC5"/>
    <w:rsid w:val="00C717FC"/>
    <w:rsid w:val="00C72AEC"/>
    <w:rsid w:val="00C91E4C"/>
    <w:rsid w:val="00C92092"/>
    <w:rsid w:val="00C966FA"/>
    <w:rsid w:val="00C97047"/>
    <w:rsid w:val="00CB6FAB"/>
    <w:rsid w:val="00CC2886"/>
    <w:rsid w:val="00CC3856"/>
    <w:rsid w:val="00CC5E01"/>
    <w:rsid w:val="00CD1D8B"/>
    <w:rsid w:val="00CD780F"/>
    <w:rsid w:val="00CE3DA9"/>
    <w:rsid w:val="00CF292D"/>
    <w:rsid w:val="00D07109"/>
    <w:rsid w:val="00D07678"/>
    <w:rsid w:val="00D07B35"/>
    <w:rsid w:val="00D201BA"/>
    <w:rsid w:val="00D2377C"/>
    <w:rsid w:val="00D31B75"/>
    <w:rsid w:val="00D33B6C"/>
    <w:rsid w:val="00D34E61"/>
    <w:rsid w:val="00D42118"/>
    <w:rsid w:val="00D5176C"/>
    <w:rsid w:val="00D51F2A"/>
    <w:rsid w:val="00D55A17"/>
    <w:rsid w:val="00D60092"/>
    <w:rsid w:val="00D60B2E"/>
    <w:rsid w:val="00D71D27"/>
    <w:rsid w:val="00D92FAD"/>
    <w:rsid w:val="00D96BEF"/>
    <w:rsid w:val="00DA1626"/>
    <w:rsid w:val="00DC27CF"/>
    <w:rsid w:val="00DC4A06"/>
    <w:rsid w:val="00DD4B19"/>
    <w:rsid w:val="00DD4D48"/>
    <w:rsid w:val="00DD7009"/>
    <w:rsid w:val="00DE2819"/>
    <w:rsid w:val="00DF7A1F"/>
    <w:rsid w:val="00E0056B"/>
    <w:rsid w:val="00E06FC0"/>
    <w:rsid w:val="00E11FFA"/>
    <w:rsid w:val="00E1213F"/>
    <w:rsid w:val="00E32641"/>
    <w:rsid w:val="00E32680"/>
    <w:rsid w:val="00E36ACB"/>
    <w:rsid w:val="00E407E3"/>
    <w:rsid w:val="00E40C60"/>
    <w:rsid w:val="00E426F5"/>
    <w:rsid w:val="00E538D3"/>
    <w:rsid w:val="00E56A28"/>
    <w:rsid w:val="00E5723E"/>
    <w:rsid w:val="00E61AE0"/>
    <w:rsid w:val="00E61DF6"/>
    <w:rsid w:val="00E7090F"/>
    <w:rsid w:val="00E757DC"/>
    <w:rsid w:val="00EA119C"/>
    <w:rsid w:val="00EB113B"/>
    <w:rsid w:val="00EB5B5B"/>
    <w:rsid w:val="00EC4277"/>
    <w:rsid w:val="00ED4A78"/>
    <w:rsid w:val="00ED78A1"/>
    <w:rsid w:val="00EF017C"/>
    <w:rsid w:val="00EF2A7B"/>
    <w:rsid w:val="00EF68C6"/>
    <w:rsid w:val="00F046AC"/>
    <w:rsid w:val="00F10D3E"/>
    <w:rsid w:val="00F1169D"/>
    <w:rsid w:val="00F13DD1"/>
    <w:rsid w:val="00F17EA3"/>
    <w:rsid w:val="00F32047"/>
    <w:rsid w:val="00F3311D"/>
    <w:rsid w:val="00F3479B"/>
    <w:rsid w:val="00F4035D"/>
    <w:rsid w:val="00F41359"/>
    <w:rsid w:val="00F46F0E"/>
    <w:rsid w:val="00F51696"/>
    <w:rsid w:val="00F532B2"/>
    <w:rsid w:val="00F56687"/>
    <w:rsid w:val="00F57585"/>
    <w:rsid w:val="00F66A35"/>
    <w:rsid w:val="00F81A4A"/>
    <w:rsid w:val="00F862D7"/>
    <w:rsid w:val="00FA71A0"/>
    <w:rsid w:val="00FB08C8"/>
    <w:rsid w:val="00FB18DB"/>
    <w:rsid w:val="00FB5E96"/>
    <w:rsid w:val="00FC0124"/>
    <w:rsid w:val="00FC1923"/>
    <w:rsid w:val="00FC1D47"/>
    <w:rsid w:val="028D9DB4"/>
    <w:rsid w:val="0F561AEB"/>
    <w:rsid w:val="1A4EDF7F"/>
    <w:rsid w:val="1A7D7B13"/>
    <w:rsid w:val="1BE5BED4"/>
    <w:rsid w:val="20504C6B"/>
    <w:rsid w:val="288C3AB3"/>
    <w:rsid w:val="2CAD314E"/>
    <w:rsid w:val="3A54D492"/>
    <w:rsid w:val="4A3A37E0"/>
    <w:rsid w:val="5380405A"/>
    <w:rsid w:val="59028C83"/>
    <w:rsid w:val="60D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D2FEB50D-7561-47DA-9CCF-0D1B91D7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76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BA2D0A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BA2D0A"/>
    <w:pPr>
      <w:spacing w:after="240" w:line="320" w:lineRule="exact"/>
    </w:pPr>
    <w:rPr>
      <w:rFonts w:ascii="Avenir Next LT Pro Demi" w:hAnsi="Avenir Next LT Pro Demi" w:cs="Arial"/>
      <w:color w:val="242E54"/>
      <w:sz w:val="32"/>
    </w:rPr>
  </w:style>
  <w:style w:type="paragraph" w:customStyle="1" w:styleId="EPMPageTitle">
    <w:name w:val="EPM Page Title"/>
    <w:qFormat/>
    <w:rsid w:val="00BA2D0A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qFormat/>
    <w:rsid w:val="00EB113B"/>
    <w:pPr>
      <w:numPr>
        <w:numId w:val="9"/>
      </w:numPr>
      <w:spacing w:before="120" w:after="120" w:line="280" w:lineRule="exact"/>
      <w:ind w:left="357" w:hanging="357"/>
    </w:pPr>
    <w:rPr>
      <w:rFonts w:ascii="Avenir Next LT Pro" w:hAnsi="Avenir Next LT Pro" w:cs="Calibri"/>
      <w:color w:val="000000" w:themeColor="text1"/>
      <w:sz w:val="21"/>
      <w:szCs w:val="20"/>
    </w:rPr>
  </w:style>
  <w:style w:type="paragraph" w:customStyle="1" w:styleId="EPMBullets">
    <w:name w:val="EPM Bullets"/>
    <w:basedOn w:val="EPMTextstyle"/>
    <w:qFormat/>
    <w:rsid w:val="00EB113B"/>
    <w:pPr>
      <w:numPr>
        <w:numId w:val="10"/>
      </w:numPr>
      <w:spacing w:before="120" w:after="120"/>
    </w:pPr>
  </w:style>
  <w:style w:type="character" w:styleId="Hyperlink">
    <w:name w:val="Hyperlink"/>
    <w:aliases w:val="EPM Hyperlink"/>
    <w:basedOn w:val="DefaultParagraphFont"/>
    <w:uiPriority w:val="99"/>
    <w:unhideWhenUsed/>
    <w:rsid w:val="00A7476D"/>
    <w:rPr>
      <w:rFonts w:ascii="Arial" w:hAnsi="Arial"/>
      <w:b w:val="0"/>
      <w:i w:val="0"/>
      <w:color w:val="A31457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EPMSubheading2">
    <w:name w:val="EPM Subheading 2"/>
    <w:basedOn w:val="EPMSubheading"/>
    <w:qFormat/>
    <w:rsid w:val="00EB113B"/>
    <w:rPr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EB113B"/>
    <w:rPr>
      <w:color w:val="218C8C"/>
    </w:rPr>
  </w:style>
  <w:style w:type="paragraph" w:customStyle="1" w:styleId="EPMNumberedHeading">
    <w:name w:val="EPM Numbered Heading"/>
    <w:basedOn w:val="EPMSubheading"/>
    <w:qFormat/>
    <w:rsid w:val="00EB113B"/>
    <w:pPr>
      <w:numPr>
        <w:numId w:val="12"/>
      </w:numPr>
      <w:ind w:left="709" w:hanging="709"/>
    </w:pPr>
    <w:rPr>
      <w:color w:val="242E54"/>
      <w:sz w:val="28"/>
      <w:szCs w:val="28"/>
    </w:rPr>
  </w:style>
  <w:style w:type="character" w:customStyle="1" w:styleId="EPMTextstyleChar">
    <w:name w:val="EPM Text style Char"/>
    <w:basedOn w:val="DefaultParagraphFont"/>
    <w:link w:val="EPMTextstyle"/>
    <w:rsid w:val="00BA2D0A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EB113B"/>
    <w:rPr>
      <w:rFonts w:ascii="Avenir Next LT Pro" w:hAnsi="Avenir Next LT Pro" w:cs="Arial"/>
      <w:color w:val="218C8C"/>
      <w:sz w:val="21"/>
      <w:szCs w:val="20"/>
    </w:rPr>
  </w:style>
  <w:style w:type="paragraph" w:customStyle="1" w:styleId="EPMSubtitle">
    <w:name w:val="EPM Subtitle"/>
    <w:basedOn w:val="Title"/>
    <w:link w:val="EPMSubtitleChar"/>
    <w:qFormat/>
    <w:rsid w:val="00BA2D0A"/>
    <w:pPr>
      <w:spacing w:before="120" w:line="720" w:lineRule="exact"/>
      <w:contextualSpacing w:val="0"/>
    </w:pPr>
    <w:rPr>
      <w:rFonts w:ascii="Avenir Next LT Pro Demi" w:hAnsi="Avenir Next LT Pro Demi" w:cs="Arial"/>
      <w:noProof/>
      <w:color w:val="A31457"/>
      <w:sz w:val="60"/>
      <w:szCs w:val="60"/>
    </w:rPr>
  </w:style>
  <w:style w:type="character" w:customStyle="1" w:styleId="EPMSubtitleChar">
    <w:name w:val="EPM Subtitle Char"/>
    <w:basedOn w:val="TitleChar"/>
    <w:link w:val="EPMSubtitle"/>
    <w:rsid w:val="00BA2D0A"/>
    <w:rPr>
      <w:rFonts w:ascii="Avenir Next LT Pro Demi" w:eastAsiaTheme="majorEastAsia" w:hAnsi="Avenir Next LT Pro Demi" w:cs="Arial"/>
      <w:noProof/>
      <w:color w:val="A31457"/>
      <w:spacing w:val="-10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rsid w:val="00301F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PMNumberedSubheading">
    <w:name w:val="EPM Numbered Subheading"/>
    <w:basedOn w:val="EPMSubheading"/>
    <w:link w:val="EPMNumberedSubheadingChar"/>
    <w:qFormat/>
    <w:rsid w:val="00F56687"/>
    <w:pPr>
      <w:numPr>
        <w:ilvl w:val="1"/>
        <w:numId w:val="12"/>
      </w:numPr>
      <w:ind w:left="1418" w:hanging="709"/>
    </w:pPr>
    <w:rPr>
      <w:rFonts w:ascii="Avenir Next LT Pro" w:hAnsi="Avenir Next LT Pro"/>
      <w:color w:val="auto"/>
      <w:sz w:val="21"/>
      <w:szCs w:val="21"/>
    </w:rPr>
  </w:style>
  <w:style w:type="paragraph" w:customStyle="1" w:styleId="EPMNumberedSubheading2">
    <w:name w:val="EPM Numbered Subheading 2"/>
    <w:basedOn w:val="EPMSubheading"/>
    <w:link w:val="EPMNumberedSubheading2Char"/>
    <w:qFormat/>
    <w:rsid w:val="00EB113B"/>
    <w:pPr>
      <w:numPr>
        <w:ilvl w:val="2"/>
        <w:numId w:val="12"/>
      </w:numPr>
      <w:ind w:left="1843" w:hanging="425"/>
    </w:pPr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EB113B"/>
    <w:rPr>
      <w:rFonts w:ascii="Avenir Next LT Pro Demi" w:hAnsi="Avenir Next LT Pro Demi" w:cs="Arial"/>
      <w:color w:val="A31457"/>
    </w:rPr>
  </w:style>
  <w:style w:type="character" w:customStyle="1" w:styleId="EPMNumberedSubheadingChar">
    <w:name w:val="EPM Numbered Subheading Char"/>
    <w:basedOn w:val="EPMSubheadingChar"/>
    <w:link w:val="EPMNumberedSubheading"/>
    <w:rsid w:val="00F56687"/>
    <w:rPr>
      <w:rFonts w:ascii="Avenir Next LT Pro" w:hAnsi="Avenir Next LT Pro" w:cs="Arial"/>
      <w:color w:val="A31457"/>
      <w:sz w:val="21"/>
      <w:szCs w:val="21"/>
    </w:rPr>
  </w:style>
  <w:style w:type="paragraph" w:customStyle="1" w:styleId="EPMHyperlinks">
    <w:name w:val="EPM Hyperlinks"/>
    <w:basedOn w:val="Normal"/>
    <w:link w:val="EPMHyperlinksChar"/>
    <w:qFormat/>
    <w:rsid w:val="00EB113B"/>
    <w:pPr>
      <w:spacing w:after="180" w:line="280" w:lineRule="exact"/>
    </w:pPr>
    <w:rPr>
      <w:rFonts w:ascii="Avenir Next LT Pro" w:hAnsi="Avenir Next LT Pro" w:cs="Arial"/>
      <w:color w:val="26529E"/>
      <w:sz w:val="21"/>
      <w:szCs w:val="21"/>
    </w:rPr>
  </w:style>
  <w:style w:type="character" w:customStyle="1" w:styleId="EPMNumberedSubheading2Char">
    <w:name w:val="EPM Numbered Subheading 2 Char"/>
    <w:basedOn w:val="EPMSubheadingChar"/>
    <w:link w:val="EPMNumberedSubheading2"/>
    <w:rsid w:val="00EB113B"/>
    <w:rPr>
      <w:rFonts w:ascii="Avenir Next LT Pro Demi" w:hAnsi="Avenir Next LT Pro Demi" w:cs="Arial"/>
      <w:color w:val="D6034D"/>
      <w:sz w:val="22"/>
      <w:szCs w:val="22"/>
    </w:rPr>
  </w:style>
  <w:style w:type="paragraph" w:customStyle="1" w:styleId="EPMFormText">
    <w:name w:val="EPM Form Text"/>
    <w:basedOn w:val="EPMTextstyle"/>
    <w:link w:val="EPMFormTextChar"/>
    <w:qFormat/>
    <w:rsid w:val="00EB113B"/>
    <w:rPr>
      <w:rFonts w:ascii="Avenir Next LT Pro Demi" w:hAnsi="Avenir Next LT Pro Demi"/>
    </w:rPr>
  </w:style>
  <w:style w:type="character" w:customStyle="1" w:styleId="EPMHyperlinksChar">
    <w:name w:val="EPM Hyperlinks Char"/>
    <w:basedOn w:val="DefaultParagraphFont"/>
    <w:link w:val="EPMHyperlinks"/>
    <w:rsid w:val="00EB113B"/>
    <w:rPr>
      <w:rFonts w:ascii="Avenir Next LT Pro" w:hAnsi="Avenir Next LT Pro" w:cs="Arial"/>
      <w:color w:val="26529E"/>
      <w:sz w:val="21"/>
      <w:szCs w:val="21"/>
    </w:rPr>
  </w:style>
  <w:style w:type="paragraph" w:customStyle="1" w:styleId="EPMTableHeading">
    <w:name w:val="EPM Table Heading"/>
    <w:basedOn w:val="Normal"/>
    <w:link w:val="EPMTableHeadingChar"/>
    <w:qFormat/>
    <w:rsid w:val="00EB113B"/>
    <w:pPr>
      <w:spacing w:before="60" w:after="60"/>
    </w:pPr>
    <w:rPr>
      <w:rFonts w:ascii="Avenir Next LT Pro Demi" w:hAnsi="Avenir Next LT Pro Demi" w:cs="Arial"/>
      <w:bCs/>
      <w:color w:val="FFFFFF" w:themeColor="background1"/>
      <w:sz w:val="22"/>
      <w:szCs w:val="22"/>
    </w:rPr>
  </w:style>
  <w:style w:type="character" w:customStyle="1" w:styleId="EPMFormTextChar">
    <w:name w:val="EPM Form Text Char"/>
    <w:basedOn w:val="EPMTextstyleChar"/>
    <w:link w:val="EPMFormText"/>
    <w:rsid w:val="00EB113B"/>
    <w:rPr>
      <w:rFonts w:ascii="Avenir Next LT Pro Demi" w:hAnsi="Avenir Next LT Pro Demi" w:cs="Arial"/>
      <w:sz w:val="21"/>
      <w:szCs w:val="20"/>
    </w:rPr>
  </w:style>
  <w:style w:type="paragraph" w:customStyle="1" w:styleId="TableHeadingStyle">
    <w:name w:val="Table Heading Style"/>
    <w:basedOn w:val="Normal"/>
    <w:link w:val="TableHeadingStyleChar"/>
    <w:rsid w:val="00242A77"/>
    <w:pPr>
      <w:spacing w:before="60" w:after="60"/>
    </w:pPr>
    <w:rPr>
      <w:bCs/>
    </w:rPr>
  </w:style>
  <w:style w:type="character" w:customStyle="1" w:styleId="EPMTableHeadingChar">
    <w:name w:val="EPM Table Heading Char"/>
    <w:basedOn w:val="DefaultParagraphFont"/>
    <w:link w:val="EPMTableHeading"/>
    <w:rsid w:val="00EB113B"/>
    <w:rPr>
      <w:rFonts w:ascii="Avenir Next LT Pro Demi" w:hAnsi="Avenir Next LT Pro Demi" w:cs="Arial"/>
      <w:bCs/>
      <w:color w:val="FFFFFF" w:themeColor="background1"/>
      <w:sz w:val="22"/>
      <w:szCs w:val="22"/>
    </w:rPr>
  </w:style>
  <w:style w:type="character" w:customStyle="1" w:styleId="TableHeadingStyleChar">
    <w:name w:val="Table Heading Style Char"/>
    <w:basedOn w:val="DefaultParagraphFont"/>
    <w:link w:val="TableHeadingStyle"/>
    <w:rsid w:val="00242A77"/>
    <w:rPr>
      <w:rFonts w:ascii="Arial" w:hAnsi="Arial"/>
      <w:bCs/>
    </w:rPr>
  </w:style>
  <w:style w:type="paragraph" w:customStyle="1" w:styleId="EPMQuote">
    <w:name w:val="EPM Quote"/>
    <w:basedOn w:val="EPMTextstyle"/>
    <w:link w:val="EPMQuoteChar"/>
    <w:qFormat/>
    <w:rsid w:val="00EB113B"/>
    <w:rPr>
      <w:rFonts w:cs="Calibri"/>
      <w:i/>
      <w:iCs/>
    </w:rPr>
  </w:style>
  <w:style w:type="character" w:customStyle="1" w:styleId="EPMQuoteChar">
    <w:name w:val="EPM Quote Char"/>
    <w:basedOn w:val="EPMTextstyleChar"/>
    <w:link w:val="EPMQuote"/>
    <w:rsid w:val="00EB113B"/>
    <w:rPr>
      <w:rFonts w:ascii="Avenir Next LT Pro" w:hAnsi="Avenir Next LT Pro" w:cs="Calibri"/>
      <w:i/>
      <w:iCs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C7E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7EAD"/>
    <w:pPr>
      <w:spacing w:after="100"/>
      <w:ind w:left="240"/>
    </w:pPr>
  </w:style>
  <w:style w:type="paragraph" w:customStyle="1" w:styleId="Numberedsubheading">
    <w:name w:val="Numbered subheading"/>
    <w:basedOn w:val="EPMSubheading"/>
    <w:link w:val="NumberedsubheadingChar"/>
    <w:qFormat/>
    <w:rsid w:val="00DD7009"/>
    <w:pPr>
      <w:ind w:left="1418" w:hanging="709"/>
    </w:pPr>
    <w:rPr>
      <w:b/>
      <w:bCs/>
    </w:rPr>
  </w:style>
  <w:style w:type="paragraph" w:customStyle="1" w:styleId="Numberedsubheading2">
    <w:name w:val="Numbered subheading 2"/>
    <w:basedOn w:val="EPMSubheading"/>
    <w:link w:val="Numberedsubheading2Char"/>
    <w:qFormat/>
    <w:rsid w:val="00DD7009"/>
    <w:pPr>
      <w:ind w:left="1843" w:hanging="425"/>
    </w:pPr>
    <w:rPr>
      <w:b/>
      <w:bCs/>
      <w:color w:val="D6034D"/>
      <w:sz w:val="22"/>
      <w:szCs w:val="22"/>
    </w:rPr>
  </w:style>
  <w:style w:type="character" w:customStyle="1" w:styleId="NumberedsubheadingChar">
    <w:name w:val="Numbered subheading Char"/>
    <w:basedOn w:val="EPMSubheadingChar"/>
    <w:link w:val="Numberedsubheading"/>
    <w:rsid w:val="00DD7009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D7009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customStyle="1" w:styleId="EPMQuotes">
    <w:name w:val="EPM Quotes"/>
    <w:basedOn w:val="EPMTextstyle"/>
    <w:link w:val="EPMQuotesChar"/>
    <w:qFormat/>
    <w:rsid w:val="00DD7009"/>
    <w:rPr>
      <w:i/>
      <w:iCs/>
    </w:rPr>
  </w:style>
  <w:style w:type="character" w:customStyle="1" w:styleId="EPMQuotesChar">
    <w:name w:val="EPM Quotes Char"/>
    <w:basedOn w:val="EPMTextstyleChar"/>
    <w:link w:val="EPMQuotes"/>
    <w:rsid w:val="00DD7009"/>
    <w:rPr>
      <w:rFonts w:ascii="Avenir Next LT Pro" w:hAnsi="Avenir Next LT Pro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D366C65B2C4FB660564778CF9132" ma:contentTypeVersion="17" ma:contentTypeDescription="Create a new document." ma:contentTypeScope="" ma:versionID="c695986abd7715379cb63e7c1ca18521">
  <xsd:schema xmlns:xsd="http://www.w3.org/2001/XMLSchema" xmlns:xs="http://www.w3.org/2001/XMLSchema" xmlns:p="http://schemas.microsoft.com/office/2006/metadata/properties" xmlns:ns2="c997d8b8-f5dd-4cd2-beec-d44b1874b5c9" xmlns:ns3="274d6909-5321-4b04-a4e5-2ef0190d4105" targetNamespace="http://schemas.microsoft.com/office/2006/metadata/properties" ma:root="true" ma:fieldsID="7e8dae2e98ed511523928c7508b14779" ns2:_="" ns3:_="">
    <xsd:import namespace="c997d8b8-f5dd-4cd2-beec-d44b1874b5c9"/>
    <xsd:import namespace="274d6909-5321-4b04-a4e5-2ef0190d4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d8b8-f5dd-4cd2-beec-d44b1874b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6909-5321-4b04-a4e5-2ef0190d4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f0b-e841-4ac2-938c-a29972eafda6}" ma:internalName="TaxCatchAll" ma:showField="CatchAllData" ma:web="274d6909-5321-4b04-a4e5-2ef0190d4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d8b8-f5dd-4cd2-beec-d44b1874b5c9">
      <Terms xmlns="http://schemas.microsoft.com/office/infopath/2007/PartnerControls"/>
    </lcf76f155ced4ddcb4097134ff3c332f>
    <TaxCatchAll xmlns="274d6909-5321-4b04-a4e5-2ef0190d4105" xsi:nil="true"/>
  </documentManagement>
</p:properties>
</file>

<file path=customXml/itemProps1.xml><?xml version="1.0" encoding="utf-8"?>
<ds:datastoreItem xmlns:ds="http://schemas.openxmlformats.org/officeDocument/2006/customXml" ds:itemID="{5FA4C817-45EE-4536-9AD5-0F3C1D5EF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E0301-B034-4DC4-8046-4BECCB5B9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d8b8-f5dd-4cd2-beec-d44b1874b5c9"/>
    <ds:schemaRef ds:uri="274d6909-5321-4b04-a4e5-2ef0190d4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A8959-8B8A-4390-A977-B4406D96852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c997d8b8-f5dd-4cd2-beec-d44b1874b5c9"/>
    <ds:schemaRef ds:uri="http://schemas.microsoft.com/office/infopath/2007/PartnerControls"/>
    <ds:schemaRef ds:uri="http://schemas.openxmlformats.org/package/2006/metadata/core-properties"/>
    <ds:schemaRef ds:uri="274d6909-5321-4b04-a4e5-2ef0190d41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Natalie Northall</cp:lastModifiedBy>
  <cp:revision>2</cp:revision>
  <dcterms:created xsi:type="dcterms:W3CDTF">2024-09-23T07:46:00Z</dcterms:created>
  <dcterms:modified xsi:type="dcterms:W3CDTF">2024-09-23T07:46:00Z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0x010100A3BED366C65B2C4FB660564778CF9132</vt:lpwstr>
  </property>
  <property fmtid="{D5CDD505-2E9C-101B-9397-08002B2CF9AE}" pid="3" name="MediaServiceImageTags">
    <vt:lpwstr/>
  </property>
</Properties>
</file>