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D5885" w14:textId="21148E8A" w:rsidR="00D55A17" w:rsidRDefault="007E7572" w:rsidP="00BD1BEB">
      <w:pPr>
        <w:pStyle w:val="EPMPolicyTitle"/>
        <w:spacing w:after="240" w:line="880" w:lineRule="exact"/>
        <w:contextualSpacing w:val="0"/>
      </w:pPr>
      <w:bookmarkStart w:id="0" w:name="_Toc131604218"/>
      <w:r w:rsidRPr="00BA2D0A">
        <w:drawing>
          <wp:anchor distT="0" distB="0" distL="114300" distR="114300" simplePos="0" relativeHeight="251658242" behindDoc="0" locked="0" layoutInCell="1" allowOverlap="1" wp14:anchorId="729481CC" wp14:editId="354D26A8">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bookmarkEnd w:id="0"/>
      <w:r w:rsidR="006239F7">
        <w:t>Procedure for Disciplinary Hearing by the Senior Manager/Headteacher/ Disciplinary Committee</w:t>
      </w:r>
    </w:p>
    <w:p w14:paraId="1999AD9A" w14:textId="77777777" w:rsidR="00D74F3B" w:rsidRPr="00CA3373" w:rsidRDefault="00D74F3B" w:rsidP="00D74F3B">
      <w:pPr>
        <w:pStyle w:val="EPMTextstyle"/>
        <w:spacing w:after="0" w:line="720" w:lineRule="exact"/>
        <w:rPr>
          <w:rFonts w:ascii="Arial" w:hAnsi="Arial"/>
          <w:color w:val="A31457"/>
          <w:sz w:val="56"/>
          <w:szCs w:val="56"/>
        </w:rPr>
      </w:pPr>
      <w:r w:rsidRPr="00CA3373">
        <w:rPr>
          <w:rFonts w:ascii="Arial" w:hAnsi="Arial"/>
          <w:color w:val="A31457"/>
          <w:sz w:val="56"/>
          <w:szCs w:val="56"/>
        </w:rPr>
        <w:t>[School/Academy Name]</w:t>
      </w:r>
    </w:p>
    <w:p w14:paraId="6E774CDA" w14:textId="77777777" w:rsidR="00D55A17" w:rsidRDefault="00D55A17" w:rsidP="00BA2D0A">
      <w:pPr>
        <w:pStyle w:val="EPMPageHeading"/>
      </w:pPr>
    </w:p>
    <w:p w14:paraId="35611602" w14:textId="3596EA9C" w:rsidR="00E02082" w:rsidRDefault="00E02082" w:rsidP="00BA2D0A">
      <w:pPr>
        <w:pStyle w:val="EPMPageHeading"/>
      </w:pPr>
      <w:r w:rsidRPr="0099024B">
        <w:rPr>
          <w:noProof/>
          <w:lang w:eastAsia="en-GB"/>
        </w:rPr>
        <mc:AlternateContent>
          <mc:Choice Requires="wps">
            <w:drawing>
              <wp:anchor distT="0" distB="0" distL="114300" distR="114300" simplePos="0" relativeHeight="251660290" behindDoc="0" locked="0" layoutInCell="1" allowOverlap="1" wp14:anchorId="100E0CA6" wp14:editId="49353413">
                <wp:simplePos x="0" y="0"/>
                <wp:positionH relativeFrom="column">
                  <wp:posOffset>-184785</wp:posOffset>
                </wp:positionH>
                <wp:positionV relativeFrom="paragraph">
                  <wp:posOffset>113030</wp:posOffset>
                </wp:positionV>
                <wp:extent cx="6408199" cy="2463800"/>
                <wp:effectExtent l="0" t="0" r="0" b="0"/>
                <wp:wrapNone/>
                <wp:docPr id="148733322" name="Text Box 148733322"/>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957595" w14:textId="77777777" w:rsidR="00E02082" w:rsidRPr="002D0CB0" w:rsidRDefault="00E02082" w:rsidP="00E02082">
                            <w:pPr>
                              <w:pStyle w:val="Standardpolicywording"/>
                              <w:spacing w:line="340" w:lineRule="exact"/>
                              <w:rPr>
                                <w:rFonts w:cs="Arial"/>
                                <w:color w:val="A31457"/>
                                <w:sz w:val="22"/>
                                <w:szCs w:val="22"/>
                              </w:rPr>
                            </w:pPr>
                            <w:r>
                              <w:rPr>
                                <w:rFonts w:cs="Arial"/>
                                <w:color w:val="A31457"/>
                                <w:sz w:val="22"/>
                                <w:szCs w:val="22"/>
                              </w:rPr>
                              <w:t>[</w:t>
                            </w:r>
                            <w:r w:rsidRPr="002D0CB0">
                              <w:rPr>
                                <w:rFonts w:cs="Arial"/>
                                <w:color w:val="A31457"/>
                                <w:sz w:val="22"/>
                                <w:szCs w:val="22"/>
                              </w:rPr>
                              <w:t>Please note prior to adopting this policy you should:</w:t>
                            </w:r>
                          </w:p>
                          <w:p w14:paraId="4ACCC55F" w14:textId="77777777" w:rsidR="00E02082" w:rsidRPr="002D0CB0" w:rsidRDefault="00E02082" w:rsidP="00E02082">
                            <w:pPr>
                              <w:pStyle w:val="Standardpolicywording"/>
                              <w:numPr>
                                <w:ilvl w:val="0"/>
                                <w:numId w:val="1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Pr>
                                <w:rFonts w:cs="Arial"/>
                                <w:color w:val="A31457"/>
                                <w:sz w:val="22"/>
                                <w:szCs w:val="22"/>
                              </w:rPr>
                              <w:t>S</w:t>
                            </w:r>
                            <w:r w:rsidRPr="002D0CB0">
                              <w:rPr>
                                <w:rFonts w:cs="Arial"/>
                                <w:color w:val="A31457"/>
                                <w:sz w:val="22"/>
                                <w:szCs w:val="22"/>
                              </w:rPr>
                              <w:t>chool/Trust</w:t>
                            </w:r>
                          </w:p>
                          <w:p w14:paraId="2CBCAB19" w14:textId="77777777" w:rsidR="00E02082" w:rsidRPr="002D0CB0" w:rsidRDefault="00E02082" w:rsidP="00E02082">
                            <w:pPr>
                              <w:pStyle w:val="Standardpolicywording"/>
                              <w:numPr>
                                <w:ilvl w:val="0"/>
                                <w:numId w:val="1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5CFCB2E6" w14:textId="77777777" w:rsidR="00E02082" w:rsidRPr="002D0CB0" w:rsidRDefault="00E02082" w:rsidP="00E02082">
                            <w:pPr>
                              <w:pStyle w:val="Standardpolicywording"/>
                              <w:numPr>
                                <w:ilvl w:val="0"/>
                                <w:numId w:val="1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Pr>
                                <w:rFonts w:cs="Arial"/>
                                <w:color w:val="A31457"/>
                                <w:sz w:val="22"/>
                                <w:szCs w:val="22"/>
                              </w:rPr>
                              <w:t>t</w:t>
                            </w:r>
                            <w:r w:rsidRPr="002D0CB0">
                              <w:rPr>
                                <w:rFonts w:cs="Arial"/>
                                <w:color w:val="A31457"/>
                                <w:sz w:val="22"/>
                                <w:szCs w:val="22"/>
                              </w:rPr>
                              <w:t xml:space="preserve">rade </w:t>
                            </w:r>
                            <w:r>
                              <w:rPr>
                                <w:rFonts w:cs="Arial"/>
                                <w:color w:val="A31457"/>
                                <w:sz w:val="22"/>
                                <w:szCs w:val="22"/>
                              </w:rPr>
                              <w:t>u</w:t>
                            </w:r>
                            <w:r w:rsidRPr="002D0CB0">
                              <w:rPr>
                                <w:rFonts w:cs="Arial"/>
                                <w:color w:val="A31457"/>
                                <w:sz w:val="22"/>
                                <w:szCs w:val="22"/>
                              </w:rPr>
                              <w:t>nions</w:t>
                            </w:r>
                          </w:p>
                          <w:p w14:paraId="65681312" w14:textId="77777777" w:rsidR="00E02082" w:rsidRPr="002D0CB0" w:rsidRDefault="00E02082" w:rsidP="00E02082">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Pr>
                                <w:rFonts w:cs="Arial"/>
                                <w:color w:val="A31457"/>
                                <w:sz w:val="22"/>
                                <w:szCs w:val="22"/>
                              </w:rPr>
                              <w:t>m</w:t>
                            </w:r>
                            <w:r w:rsidRPr="002D0CB0">
                              <w:rPr>
                                <w:rFonts w:cs="Arial"/>
                                <w:color w:val="A31457"/>
                                <w:sz w:val="22"/>
                                <w:szCs w:val="22"/>
                              </w:rPr>
                              <w:t>ulti-</w:t>
                            </w:r>
                            <w:r>
                              <w:rPr>
                                <w:rFonts w:cs="Arial"/>
                                <w:color w:val="A31457"/>
                                <w:sz w:val="22"/>
                                <w:szCs w:val="22"/>
                              </w:rPr>
                              <w:t>a</w:t>
                            </w:r>
                            <w:r w:rsidRPr="002D0CB0">
                              <w:rPr>
                                <w:rFonts w:cs="Arial"/>
                                <w:color w:val="A31457"/>
                                <w:sz w:val="22"/>
                                <w:szCs w:val="22"/>
                              </w:rPr>
                              <w:t xml:space="preserve">cademy </w:t>
                            </w:r>
                            <w:r>
                              <w:rPr>
                                <w:rFonts w:cs="Arial"/>
                                <w:color w:val="A31457"/>
                                <w:sz w:val="22"/>
                                <w:szCs w:val="22"/>
                              </w:rPr>
                              <w:t>t</w:t>
                            </w:r>
                            <w:r w:rsidRPr="002D0CB0">
                              <w:rPr>
                                <w:rFonts w:cs="Arial"/>
                                <w:color w:val="A31457"/>
                                <w:sz w:val="22"/>
                                <w:szCs w:val="22"/>
                              </w:rPr>
                              <w:t>rust, please check with your Trust prior to adopting any new or amended policies.</w:t>
                            </w:r>
                            <w:r>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E0CA6" id="_x0000_t202" coordsize="21600,21600" o:spt="202" path="m,l,21600r21600,l21600,xe">
                <v:stroke joinstyle="miter"/>
                <v:path gradientshapeok="t" o:connecttype="rect"/>
              </v:shapetype>
              <v:shape id="Text Box 148733322" o:spid="_x0000_s1026" type="#_x0000_t202" style="position:absolute;margin-left:-14.55pt;margin-top:8.9pt;width:504.6pt;height:194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" filled="f" stroked="f">
                <v:textbox>
                  <w:txbxContent>
                    <w:p w14:paraId="52957595" w14:textId="77777777" w:rsidR="00E02082" w:rsidRPr="002D0CB0" w:rsidRDefault="00E02082" w:rsidP="00E02082">
                      <w:pPr>
                        <w:pStyle w:val="Standardpolicywording"/>
                        <w:spacing w:line="340" w:lineRule="exact"/>
                        <w:rPr>
                          <w:rFonts w:cs="Arial"/>
                          <w:color w:val="A31457"/>
                          <w:sz w:val="22"/>
                          <w:szCs w:val="22"/>
                        </w:rPr>
                      </w:pPr>
                      <w:r>
                        <w:rPr>
                          <w:rFonts w:cs="Arial"/>
                          <w:color w:val="A31457"/>
                          <w:sz w:val="22"/>
                          <w:szCs w:val="22"/>
                        </w:rPr>
                        <w:t>[</w:t>
                      </w:r>
                      <w:r w:rsidRPr="002D0CB0">
                        <w:rPr>
                          <w:rFonts w:cs="Arial"/>
                          <w:color w:val="A31457"/>
                          <w:sz w:val="22"/>
                          <w:szCs w:val="22"/>
                        </w:rPr>
                        <w:t>Please note prior to adopting this policy you should:</w:t>
                      </w:r>
                    </w:p>
                    <w:p w14:paraId="4ACCC55F" w14:textId="77777777" w:rsidR="00E02082" w:rsidRPr="002D0CB0" w:rsidRDefault="00E02082" w:rsidP="00E02082">
                      <w:pPr>
                        <w:pStyle w:val="Standardpolicywording"/>
                        <w:numPr>
                          <w:ilvl w:val="0"/>
                          <w:numId w:val="1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Pr>
                          <w:rFonts w:cs="Arial"/>
                          <w:color w:val="A31457"/>
                          <w:sz w:val="22"/>
                          <w:szCs w:val="22"/>
                        </w:rPr>
                        <w:t>S</w:t>
                      </w:r>
                      <w:r w:rsidRPr="002D0CB0">
                        <w:rPr>
                          <w:rFonts w:cs="Arial"/>
                          <w:color w:val="A31457"/>
                          <w:sz w:val="22"/>
                          <w:szCs w:val="22"/>
                        </w:rPr>
                        <w:t>chool/Trust</w:t>
                      </w:r>
                    </w:p>
                    <w:p w14:paraId="2CBCAB19" w14:textId="77777777" w:rsidR="00E02082" w:rsidRPr="002D0CB0" w:rsidRDefault="00E02082" w:rsidP="00E02082">
                      <w:pPr>
                        <w:pStyle w:val="Standardpolicywording"/>
                        <w:numPr>
                          <w:ilvl w:val="0"/>
                          <w:numId w:val="1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5CFCB2E6" w14:textId="77777777" w:rsidR="00E02082" w:rsidRPr="002D0CB0" w:rsidRDefault="00E02082" w:rsidP="00E02082">
                      <w:pPr>
                        <w:pStyle w:val="Standardpolicywording"/>
                        <w:numPr>
                          <w:ilvl w:val="0"/>
                          <w:numId w:val="1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Pr>
                          <w:rFonts w:cs="Arial"/>
                          <w:color w:val="A31457"/>
                          <w:sz w:val="22"/>
                          <w:szCs w:val="22"/>
                        </w:rPr>
                        <w:t>t</w:t>
                      </w:r>
                      <w:r w:rsidRPr="002D0CB0">
                        <w:rPr>
                          <w:rFonts w:cs="Arial"/>
                          <w:color w:val="A31457"/>
                          <w:sz w:val="22"/>
                          <w:szCs w:val="22"/>
                        </w:rPr>
                        <w:t xml:space="preserve">rade </w:t>
                      </w:r>
                      <w:r>
                        <w:rPr>
                          <w:rFonts w:cs="Arial"/>
                          <w:color w:val="A31457"/>
                          <w:sz w:val="22"/>
                          <w:szCs w:val="22"/>
                        </w:rPr>
                        <w:t>u</w:t>
                      </w:r>
                      <w:r w:rsidRPr="002D0CB0">
                        <w:rPr>
                          <w:rFonts w:cs="Arial"/>
                          <w:color w:val="A31457"/>
                          <w:sz w:val="22"/>
                          <w:szCs w:val="22"/>
                        </w:rPr>
                        <w:t>nions</w:t>
                      </w:r>
                    </w:p>
                    <w:p w14:paraId="65681312" w14:textId="77777777" w:rsidR="00E02082" w:rsidRPr="002D0CB0" w:rsidRDefault="00E02082" w:rsidP="00E02082">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Pr>
                          <w:rFonts w:cs="Arial"/>
                          <w:color w:val="A31457"/>
                          <w:sz w:val="22"/>
                          <w:szCs w:val="22"/>
                        </w:rPr>
                        <w:t>m</w:t>
                      </w:r>
                      <w:r w:rsidRPr="002D0CB0">
                        <w:rPr>
                          <w:rFonts w:cs="Arial"/>
                          <w:color w:val="A31457"/>
                          <w:sz w:val="22"/>
                          <w:szCs w:val="22"/>
                        </w:rPr>
                        <w:t>ulti-</w:t>
                      </w:r>
                      <w:r>
                        <w:rPr>
                          <w:rFonts w:cs="Arial"/>
                          <w:color w:val="A31457"/>
                          <w:sz w:val="22"/>
                          <w:szCs w:val="22"/>
                        </w:rPr>
                        <w:t>a</w:t>
                      </w:r>
                      <w:r w:rsidRPr="002D0CB0">
                        <w:rPr>
                          <w:rFonts w:cs="Arial"/>
                          <w:color w:val="A31457"/>
                          <w:sz w:val="22"/>
                          <w:szCs w:val="22"/>
                        </w:rPr>
                        <w:t xml:space="preserve">cademy </w:t>
                      </w:r>
                      <w:r>
                        <w:rPr>
                          <w:rFonts w:cs="Arial"/>
                          <w:color w:val="A31457"/>
                          <w:sz w:val="22"/>
                          <w:szCs w:val="22"/>
                        </w:rPr>
                        <w:t>t</w:t>
                      </w:r>
                      <w:r w:rsidRPr="002D0CB0">
                        <w:rPr>
                          <w:rFonts w:cs="Arial"/>
                          <w:color w:val="A31457"/>
                          <w:sz w:val="22"/>
                          <w:szCs w:val="22"/>
                        </w:rPr>
                        <w:t>rust, please check with your Trust prior to adopting any new or amended policies.</w:t>
                      </w:r>
                      <w:r>
                        <w:rPr>
                          <w:rFonts w:cs="Arial"/>
                          <w:color w:val="A31457"/>
                          <w:sz w:val="22"/>
                          <w:szCs w:val="22"/>
                        </w:rPr>
                        <w:t>]</w:t>
                      </w:r>
                    </w:p>
                  </w:txbxContent>
                </v:textbox>
              </v:shape>
            </w:pict>
          </mc:Fallback>
        </mc:AlternateContent>
      </w:r>
    </w:p>
    <w:p w14:paraId="63A3B93C" w14:textId="7D5F8E52" w:rsidR="00E02082" w:rsidRDefault="00E02082" w:rsidP="00BA2D0A">
      <w:pPr>
        <w:pStyle w:val="EPMPageHeading"/>
      </w:pPr>
    </w:p>
    <w:p w14:paraId="331A6A20" w14:textId="39E587C9" w:rsidR="00E02082" w:rsidRPr="007E7572" w:rsidRDefault="00E02082" w:rsidP="00BA2D0A">
      <w:pPr>
        <w:pStyle w:val="EPMPageHeading"/>
        <w:sectPr w:rsidR="00E02082" w:rsidRPr="007E7572" w:rsidSect="00666C8A">
          <w:footerReference w:type="default" r:id="rId12"/>
          <w:pgSz w:w="11906" w:h="16838"/>
          <w:pgMar w:top="2842" w:right="1021" w:bottom="851" w:left="1021" w:header="709" w:footer="544" w:gutter="0"/>
          <w:cols w:space="708"/>
          <w:docGrid w:linePitch="360"/>
        </w:sectPr>
      </w:pPr>
    </w:p>
    <w:p w14:paraId="480B8EA5" w14:textId="37A2452C" w:rsidR="00DD7009" w:rsidRPr="00690386" w:rsidRDefault="00C963F8" w:rsidP="00DD7009">
      <w:pPr>
        <w:pStyle w:val="EPMPageHeading"/>
        <w:rPr>
          <w:rFonts w:ascii="Arial" w:hAnsi="Arial"/>
          <w:b/>
          <w:bCs/>
          <w:color w:val="auto"/>
        </w:rPr>
      </w:pPr>
      <w:r w:rsidRPr="00690386">
        <w:rPr>
          <w:rFonts w:ascii="Arial" w:hAnsi="Arial"/>
          <w:b/>
          <w:bCs/>
          <w:color w:val="auto"/>
        </w:rPr>
        <w:lastRenderedPageBreak/>
        <w:t>Procedure for Disciplinary Hearing by the Senior Manager/ Headteacher/Disciplinary Committee</w:t>
      </w:r>
    </w:p>
    <w:p w14:paraId="4E2D3E26" w14:textId="5C676033" w:rsidR="00F02929" w:rsidRPr="00690386" w:rsidRDefault="00F02929" w:rsidP="00A17226">
      <w:pPr>
        <w:pStyle w:val="EPMNumberedHeading"/>
        <w:ind w:left="709" w:hanging="709"/>
        <w:rPr>
          <w:rFonts w:ascii="Arial" w:hAnsi="Arial"/>
          <w:b/>
          <w:bCs/>
          <w:color w:val="auto"/>
        </w:rPr>
      </w:pPr>
      <w:r w:rsidRPr="00690386">
        <w:rPr>
          <w:rFonts w:ascii="Arial" w:hAnsi="Arial"/>
          <w:b/>
          <w:bCs/>
          <w:color w:val="auto"/>
        </w:rPr>
        <w:t>Presentation of the Management Case</w:t>
      </w:r>
    </w:p>
    <w:p w14:paraId="75D94D4F" w14:textId="4FFD4FF1" w:rsidR="00AD35A1" w:rsidRPr="0009345E" w:rsidRDefault="00AD35A1" w:rsidP="00AD35A1">
      <w:pPr>
        <w:pStyle w:val="EPMNumberedSubheading"/>
        <w:rPr>
          <w:rFonts w:ascii="Arial" w:hAnsi="Arial"/>
        </w:rPr>
      </w:pPr>
      <w:r w:rsidRPr="0009345E">
        <w:rPr>
          <w:rFonts w:ascii="Arial" w:hAnsi="Arial"/>
        </w:rPr>
        <w:t>The management representative</w:t>
      </w:r>
      <w:r w:rsidR="007362F4" w:rsidRPr="0009345E">
        <w:rPr>
          <w:rFonts w:ascii="Arial" w:hAnsi="Arial"/>
        </w:rPr>
        <w:t>*</w:t>
      </w:r>
      <w:r w:rsidRPr="0009345E">
        <w:rPr>
          <w:rFonts w:ascii="Arial" w:hAnsi="Arial"/>
        </w:rPr>
        <w:t xml:space="preserve"> may make an opening address outlining the school’s case and the reasons for the hearing.</w:t>
      </w:r>
    </w:p>
    <w:p w14:paraId="3D2B88F7" w14:textId="16E11A4A" w:rsidR="00F02929" w:rsidRPr="0009345E" w:rsidRDefault="00F02929" w:rsidP="00F02929">
      <w:pPr>
        <w:pStyle w:val="EPMNumberedSubheading"/>
        <w:rPr>
          <w:rFonts w:ascii="Arial" w:hAnsi="Arial"/>
        </w:rPr>
      </w:pPr>
      <w:r w:rsidRPr="0009345E">
        <w:rPr>
          <w:rFonts w:ascii="Arial" w:hAnsi="Arial"/>
        </w:rPr>
        <w:t>The management representative calls each witness in turn so that</w:t>
      </w:r>
    </w:p>
    <w:p w14:paraId="4A324532" w14:textId="33FF21EA" w:rsidR="00F02929" w:rsidRPr="0009345E" w:rsidRDefault="00F02929" w:rsidP="00F02929">
      <w:pPr>
        <w:pStyle w:val="EPMBullets"/>
        <w:ind w:left="1701" w:hanging="283"/>
        <w:rPr>
          <w:rFonts w:ascii="Arial" w:hAnsi="Arial"/>
        </w:rPr>
      </w:pPr>
      <w:r w:rsidRPr="0009345E">
        <w:rPr>
          <w:rFonts w:ascii="Arial" w:hAnsi="Arial"/>
        </w:rPr>
        <w:t>The witness is asked questions.</w:t>
      </w:r>
    </w:p>
    <w:p w14:paraId="0595645D" w14:textId="641F3719" w:rsidR="00F02929" w:rsidRPr="0009345E" w:rsidRDefault="00F02929" w:rsidP="00F02929">
      <w:pPr>
        <w:pStyle w:val="EPMBullets"/>
        <w:ind w:left="1701" w:hanging="283"/>
        <w:rPr>
          <w:rFonts w:ascii="Arial" w:hAnsi="Arial"/>
        </w:rPr>
      </w:pPr>
      <w:r w:rsidRPr="0009345E">
        <w:rPr>
          <w:rFonts w:ascii="Arial" w:hAnsi="Arial"/>
        </w:rPr>
        <w:t xml:space="preserve">The employee's </w:t>
      </w:r>
      <w:proofErr w:type="gramStart"/>
      <w:r w:rsidRPr="0009345E">
        <w:rPr>
          <w:rFonts w:ascii="Arial" w:hAnsi="Arial"/>
        </w:rPr>
        <w:t>companion*has the opportunity to</w:t>
      </w:r>
      <w:proofErr w:type="gramEnd"/>
      <w:r w:rsidRPr="0009345E">
        <w:rPr>
          <w:rFonts w:ascii="Arial" w:hAnsi="Arial"/>
        </w:rPr>
        <w:t xml:space="preserve"> ask the witness questions.</w:t>
      </w:r>
    </w:p>
    <w:p w14:paraId="4F37E50D" w14:textId="1D39F8FB" w:rsidR="00F02929" w:rsidRPr="0009345E" w:rsidRDefault="00F02929" w:rsidP="00F02929">
      <w:pPr>
        <w:pStyle w:val="EPMBullets"/>
        <w:ind w:left="1701" w:hanging="283"/>
        <w:rPr>
          <w:rFonts w:ascii="Arial" w:hAnsi="Arial"/>
        </w:rPr>
      </w:pPr>
      <w:r w:rsidRPr="0009345E">
        <w:rPr>
          <w:rFonts w:ascii="Arial" w:hAnsi="Arial"/>
        </w:rPr>
        <w:t>The management representative may ask the witness questions of clarification.</w:t>
      </w:r>
    </w:p>
    <w:p w14:paraId="2E5B1670" w14:textId="3AB24F86" w:rsidR="00F02929" w:rsidRPr="0009345E" w:rsidRDefault="00F02929" w:rsidP="00F02929">
      <w:pPr>
        <w:pStyle w:val="EPMBullets"/>
        <w:ind w:left="1701" w:hanging="283"/>
        <w:rPr>
          <w:rFonts w:ascii="Arial" w:hAnsi="Arial"/>
        </w:rPr>
      </w:pPr>
      <w:r w:rsidRPr="0009345E">
        <w:rPr>
          <w:rFonts w:ascii="Arial" w:hAnsi="Arial"/>
        </w:rPr>
        <w:t xml:space="preserve">The Senior Manager/Headteacher/Disciplinary Committee </w:t>
      </w:r>
      <w:proofErr w:type="gramStart"/>
      <w:r w:rsidRPr="0009345E">
        <w:rPr>
          <w:rFonts w:ascii="Arial" w:hAnsi="Arial"/>
        </w:rPr>
        <w:t>has the opportunity to</w:t>
      </w:r>
      <w:proofErr w:type="gramEnd"/>
      <w:r w:rsidRPr="0009345E">
        <w:rPr>
          <w:rFonts w:ascii="Arial" w:hAnsi="Arial"/>
        </w:rPr>
        <w:t xml:space="preserve"> question the witness.</w:t>
      </w:r>
    </w:p>
    <w:p w14:paraId="7778A40C" w14:textId="7F43282E" w:rsidR="00F02929" w:rsidRPr="0009345E" w:rsidRDefault="00F02929" w:rsidP="00F02929">
      <w:pPr>
        <w:pStyle w:val="EPMNumberedSubheading"/>
        <w:rPr>
          <w:rFonts w:ascii="Arial" w:hAnsi="Arial"/>
        </w:rPr>
      </w:pPr>
      <w:r w:rsidRPr="0009345E">
        <w:rPr>
          <w:rFonts w:ascii="Arial" w:hAnsi="Arial"/>
        </w:rPr>
        <w:t>Each witness withdraws after giving evidence, except the management representative who is a witness and presents the outcome of the disciplinary investigation.</w:t>
      </w:r>
    </w:p>
    <w:p w14:paraId="7E43CD4B" w14:textId="7963ECD7" w:rsidR="00691EE9" w:rsidRPr="00690386" w:rsidRDefault="00691EE9" w:rsidP="00A17226">
      <w:pPr>
        <w:pStyle w:val="EPMNumberedHeading"/>
        <w:ind w:left="709" w:hanging="709"/>
        <w:rPr>
          <w:rFonts w:ascii="Arial" w:hAnsi="Arial"/>
          <w:b/>
          <w:bCs/>
          <w:color w:val="auto"/>
        </w:rPr>
      </w:pPr>
      <w:r w:rsidRPr="00690386">
        <w:rPr>
          <w:rFonts w:ascii="Arial" w:hAnsi="Arial"/>
          <w:b/>
          <w:bCs/>
          <w:color w:val="auto"/>
        </w:rPr>
        <w:t>Presentation of the Employee’s Case</w:t>
      </w:r>
    </w:p>
    <w:p w14:paraId="4FC83CF6" w14:textId="43F0AC7D" w:rsidR="00643E69" w:rsidRPr="0009345E" w:rsidRDefault="00643E69" w:rsidP="00643E69">
      <w:pPr>
        <w:pStyle w:val="EPMNumberedSubheading"/>
        <w:rPr>
          <w:rFonts w:ascii="Arial" w:hAnsi="Arial"/>
        </w:rPr>
      </w:pPr>
      <w:r w:rsidRPr="0009345E">
        <w:rPr>
          <w:rFonts w:ascii="Arial" w:hAnsi="Arial"/>
        </w:rPr>
        <w:t>The employee’s companion*</w:t>
      </w:r>
      <w:r w:rsidR="007362F4" w:rsidRPr="0009345E">
        <w:rPr>
          <w:rFonts w:ascii="Arial" w:hAnsi="Arial"/>
        </w:rPr>
        <w:t>*</w:t>
      </w:r>
      <w:r w:rsidRPr="0009345E">
        <w:rPr>
          <w:rFonts w:ascii="Arial" w:hAnsi="Arial"/>
        </w:rPr>
        <w:t xml:space="preserve"> may make an opening address outlining the employee's case</w:t>
      </w:r>
    </w:p>
    <w:p w14:paraId="32EA8F69" w14:textId="058C9998" w:rsidR="00691EE9" w:rsidRPr="0009345E" w:rsidRDefault="00691EE9" w:rsidP="00691EE9">
      <w:pPr>
        <w:pStyle w:val="EPMNumberedSubheading"/>
        <w:rPr>
          <w:rFonts w:ascii="Arial" w:hAnsi="Arial"/>
        </w:rPr>
      </w:pPr>
      <w:r w:rsidRPr="0009345E">
        <w:rPr>
          <w:rFonts w:ascii="Arial" w:hAnsi="Arial"/>
        </w:rPr>
        <w:t>The employee's companion calls each witness in turn so that:</w:t>
      </w:r>
    </w:p>
    <w:p w14:paraId="6B8C78A6" w14:textId="0D1CD337" w:rsidR="00691EE9" w:rsidRPr="006F4B45" w:rsidRDefault="00691EE9" w:rsidP="006F4B45">
      <w:pPr>
        <w:pStyle w:val="EPMBullets"/>
        <w:ind w:left="1843"/>
        <w:rPr>
          <w:rFonts w:ascii="Arial" w:hAnsi="Arial"/>
        </w:rPr>
      </w:pPr>
      <w:r w:rsidRPr="006F4B45">
        <w:rPr>
          <w:rFonts w:ascii="Arial" w:hAnsi="Arial"/>
        </w:rPr>
        <w:t>The witness is asked questions</w:t>
      </w:r>
    </w:p>
    <w:p w14:paraId="06FD596A" w14:textId="0C44E510" w:rsidR="00691EE9" w:rsidRPr="006F4B45" w:rsidRDefault="00691EE9" w:rsidP="006F4B45">
      <w:pPr>
        <w:pStyle w:val="EPMBullets"/>
        <w:ind w:left="1843"/>
        <w:rPr>
          <w:rFonts w:ascii="Arial" w:hAnsi="Arial"/>
        </w:rPr>
      </w:pPr>
      <w:r w:rsidRPr="006F4B45">
        <w:rPr>
          <w:rFonts w:ascii="Arial" w:hAnsi="Arial"/>
        </w:rPr>
        <w:t xml:space="preserve">The management representative </w:t>
      </w:r>
      <w:proofErr w:type="gramStart"/>
      <w:r w:rsidRPr="006F4B45">
        <w:rPr>
          <w:rFonts w:ascii="Arial" w:hAnsi="Arial"/>
        </w:rPr>
        <w:t>has the opportunity to</w:t>
      </w:r>
      <w:proofErr w:type="gramEnd"/>
      <w:r w:rsidRPr="006F4B45">
        <w:rPr>
          <w:rFonts w:ascii="Arial" w:hAnsi="Arial"/>
        </w:rPr>
        <w:t xml:space="preserve"> ask the witness questions</w:t>
      </w:r>
    </w:p>
    <w:p w14:paraId="405BFA92" w14:textId="058FE049" w:rsidR="00691EE9" w:rsidRPr="006F4B45" w:rsidRDefault="00691EE9" w:rsidP="006F4B45">
      <w:pPr>
        <w:pStyle w:val="EPMBullets"/>
        <w:ind w:left="1843"/>
        <w:rPr>
          <w:rFonts w:ascii="Arial" w:hAnsi="Arial"/>
        </w:rPr>
      </w:pPr>
      <w:r w:rsidRPr="006F4B45">
        <w:rPr>
          <w:rFonts w:ascii="Arial" w:hAnsi="Arial"/>
        </w:rPr>
        <w:t>The employee's companion may ask the witness questions of clarification.</w:t>
      </w:r>
    </w:p>
    <w:p w14:paraId="23A87C52" w14:textId="2B85DCFB" w:rsidR="00691EE9" w:rsidRPr="006F4B45" w:rsidRDefault="00691EE9" w:rsidP="006F4B45">
      <w:pPr>
        <w:pStyle w:val="EPMBullets"/>
        <w:ind w:left="1843"/>
        <w:rPr>
          <w:rFonts w:ascii="Arial" w:hAnsi="Arial"/>
        </w:rPr>
      </w:pPr>
      <w:r w:rsidRPr="006F4B45">
        <w:rPr>
          <w:rFonts w:ascii="Arial" w:hAnsi="Arial"/>
        </w:rPr>
        <w:t xml:space="preserve">The Senior Manager/Headteacher/Disciplinary Committee </w:t>
      </w:r>
      <w:proofErr w:type="gramStart"/>
      <w:r w:rsidRPr="006F4B45">
        <w:rPr>
          <w:rFonts w:ascii="Arial" w:hAnsi="Arial"/>
        </w:rPr>
        <w:t>has the opportunity to</w:t>
      </w:r>
      <w:proofErr w:type="gramEnd"/>
      <w:r w:rsidRPr="006F4B45">
        <w:rPr>
          <w:rFonts w:ascii="Arial" w:hAnsi="Arial"/>
        </w:rPr>
        <w:t xml:space="preserve"> question the witness.</w:t>
      </w:r>
    </w:p>
    <w:p w14:paraId="39856822" w14:textId="33D95970" w:rsidR="00F02929" w:rsidRPr="0009345E" w:rsidRDefault="00691EE9" w:rsidP="00691EE9">
      <w:pPr>
        <w:pStyle w:val="EPMNumberedSubheading"/>
        <w:rPr>
          <w:rFonts w:ascii="Arial" w:hAnsi="Arial"/>
        </w:rPr>
      </w:pPr>
      <w:r w:rsidRPr="0009345E">
        <w:rPr>
          <w:rFonts w:ascii="Arial" w:hAnsi="Arial"/>
        </w:rPr>
        <w:t xml:space="preserve">Each witness withdraws after giving evidence except the employee who has been a witness to </w:t>
      </w:r>
      <w:r w:rsidR="00475578" w:rsidRPr="0009345E">
        <w:rPr>
          <w:rFonts w:ascii="Arial" w:hAnsi="Arial"/>
        </w:rPr>
        <w:t>their</w:t>
      </w:r>
      <w:r w:rsidRPr="0009345E">
        <w:rPr>
          <w:rFonts w:ascii="Arial" w:hAnsi="Arial"/>
        </w:rPr>
        <w:t xml:space="preserve"> own case, who has the right to remain throughout the hearing procedure</w:t>
      </w:r>
    </w:p>
    <w:p w14:paraId="26391C8F" w14:textId="47609DBE" w:rsidR="00A83681" w:rsidRPr="00690386" w:rsidRDefault="00A83681" w:rsidP="00A17226">
      <w:pPr>
        <w:pStyle w:val="EPMNumberedHeading"/>
        <w:ind w:left="709" w:hanging="709"/>
        <w:rPr>
          <w:rFonts w:ascii="Arial" w:hAnsi="Arial"/>
          <w:b/>
          <w:bCs/>
          <w:color w:val="auto"/>
        </w:rPr>
      </w:pPr>
      <w:r w:rsidRPr="00690386">
        <w:rPr>
          <w:rFonts w:ascii="Arial" w:hAnsi="Arial"/>
          <w:b/>
          <w:bCs/>
          <w:color w:val="auto"/>
        </w:rPr>
        <w:t>Summing Up</w:t>
      </w:r>
    </w:p>
    <w:p w14:paraId="7809628D" w14:textId="153B2E70" w:rsidR="00A83681" w:rsidRPr="0009345E" w:rsidRDefault="00A83681" w:rsidP="00A83681">
      <w:pPr>
        <w:pStyle w:val="EPMNumberedSubheading"/>
        <w:rPr>
          <w:rFonts w:ascii="Arial" w:hAnsi="Arial"/>
        </w:rPr>
      </w:pPr>
      <w:r w:rsidRPr="0009345E">
        <w:rPr>
          <w:rFonts w:ascii="Arial" w:hAnsi="Arial"/>
        </w:rPr>
        <w:t>The management representative and then the employee's companion shall have the opportunity to sum up their case if they so wish.</w:t>
      </w:r>
    </w:p>
    <w:p w14:paraId="579357EC" w14:textId="18C98D23" w:rsidR="00F02929" w:rsidRPr="0009345E" w:rsidRDefault="00A83681" w:rsidP="00A83681">
      <w:pPr>
        <w:pStyle w:val="EPMNumberedSubheading"/>
        <w:rPr>
          <w:rFonts w:ascii="Arial" w:hAnsi="Arial"/>
        </w:rPr>
      </w:pPr>
      <w:r w:rsidRPr="0009345E">
        <w:rPr>
          <w:rFonts w:ascii="Arial" w:hAnsi="Arial"/>
        </w:rPr>
        <w:t>Both parties then withdraw.</w:t>
      </w:r>
    </w:p>
    <w:p w14:paraId="3BB1D0C0" w14:textId="5487A572" w:rsidR="007362F4" w:rsidRPr="0009345E" w:rsidRDefault="007362F4" w:rsidP="00D96142">
      <w:pPr>
        <w:pStyle w:val="EPMNumberedHeading"/>
        <w:numPr>
          <w:ilvl w:val="0"/>
          <w:numId w:val="0"/>
        </w:numPr>
        <w:ind w:left="1985" w:hanging="709"/>
        <w:rPr>
          <w:rFonts w:ascii="Arial" w:hAnsi="Arial"/>
          <w:color w:val="auto"/>
          <w:sz w:val="21"/>
          <w:szCs w:val="21"/>
        </w:rPr>
      </w:pPr>
      <w:r w:rsidRPr="0009345E">
        <w:rPr>
          <w:rFonts w:ascii="Arial" w:hAnsi="Arial"/>
          <w:color w:val="auto"/>
          <w:sz w:val="21"/>
          <w:szCs w:val="21"/>
        </w:rPr>
        <w:t xml:space="preserve">* Management representative will usually be the Investigating Officer. </w:t>
      </w:r>
    </w:p>
    <w:p w14:paraId="7FE5BE53" w14:textId="40690F89" w:rsidR="007362F4" w:rsidRPr="0009345E" w:rsidRDefault="007362F4" w:rsidP="00A17226">
      <w:pPr>
        <w:pStyle w:val="EPMNumberedHeading"/>
        <w:numPr>
          <w:ilvl w:val="0"/>
          <w:numId w:val="0"/>
        </w:numPr>
        <w:ind w:left="1418" w:hanging="142"/>
        <w:rPr>
          <w:rFonts w:ascii="Arial" w:hAnsi="Arial"/>
          <w:color w:val="auto"/>
        </w:rPr>
      </w:pPr>
      <w:r w:rsidRPr="0009345E">
        <w:rPr>
          <w:rFonts w:ascii="Arial" w:hAnsi="Arial"/>
          <w:color w:val="auto"/>
          <w:sz w:val="21"/>
          <w:szCs w:val="21"/>
        </w:rPr>
        <w:t>** Companion will be defined in the School’s Disciplinary Procedure. Legally it may be a workplace colleague or trade union representative.</w:t>
      </w:r>
    </w:p>
    <w:p w14:paraId="1A4D39F4" w14:textId="62F4E950" w:rsidR="00A83681" w:rsidRPr="0009345E" w:rsidRDefault="00A83681">
      <w:pPr>
        <w:rPr>
          <w:rFonts w:cs="Arial"/>
          <w:sz w:val="21"/>
          <w:szCs w:val="20"/>
        </w:rPr>
      </w:pPr>
      <w:r w:rsidRPr="0009345E">
        <w:rPr>
          <w:rFonts w:cs="Arial"/>
        </w:rPr>
        <w:br w:type="page"/>
      </w:r>
    </w:p>
    <w:p w14:paraId="5D2B2B29" w14:textId="77777777" w:rsidR="00240B5E" w:rsidRPr="00D96142" w:rsidRDefault="00240B5E" w:rsidP="00D96142">
      <w:pPr>
        <w:pStyle w:val="EPMNumberedHeading"/>
        <w:ind w:left="709" w:hanging="709"/>
        <w:rPr>
          <w:rFonts w:ascii="Arial" w:hAnsi="Arial"/>
          <w:b/>
          <w:bCs/>
          <w:color w:val="auto"/>
        </w:rPr>
      </w:pPr>
      <w:r w:rsidRPr="00D96142">
        <w:rPr>
          <w:rFonts w:ascii="Arial" w:hAnsi="Arial"/>
          <w:b/>
          <w:bCs/>
          <w:color w:val="auto"/>
        </w:rPr>
        <w:lastRenderedPageBreak/>
        <w:t>The Headteacher/Disciplinary Committee’s Decision</w:t>
      </w:r>
    </w:p>
    <w:p w14:paraId="5C239A49" w14:textId="77777777" w:rsidR="00240B5E" w:rsidRPr="0009345E" w:rsidRDefault="00240B5E" w:rsidP="00240B5E">
      <w:pPr>
        <w:pStyle w:val="EPMNumberedSubheading"/>
        <w:rPr>
          <w:rFonts w:ascii="Arial" w:hAnsi="Arial"/>
        </w:rPr>
      </w:pPr>
      <w:r w:rsidRPr="0009345E">
        <w:rPr>
          <w:rFonts w:ascii="Arial" w:hAnsi="Arial"/>
        </w:rPr>
        <w:t>The Headteacher/Disciplinary Committee, together with an appointed adviser(s), is to deliberate in private, only recalling the parties to clarify points of uncertainty on evidence already given. If recall is necessary both parties are to return, notwithstanding that only one may be concerned with the point under clarification.</w:t>
      </w:r>
    </w:p>
    <w:p w14:paraId="5CE2CCEB" w14:textId="3448DA61" w:rsidR="00240B5E" w:rsidRPr="0009345E" w:rsidRDefault="00240B5E" w:rsidP="00240B5E">
      <w:pPr>
        <w:pStyle w:val="EPMNumberedSubheading"/>
        <w:rPr>
          <w:rFonts w:ascii="Arial" w:hAnsi="Arial"/>
        </w:rPr>
      </w:pPr>
      <w:r w:rsidRPr="0009345E">
        <w:rPr>
          <w:rFonts w:ascii="Arial" w:hAnsi="Arial"/>
        </w:rPr>
        <w:t xml:space="preserve">The Headteacher/Disciplinary Committee is to announce its decision to both parties at the close of the proceedings whenever possible. The decision will be confirmed in writing soon afterwards. Where the decision is to dismiss or to give a disciplinary warning, the employee will be advised of </w:t>
      </w:r>
      <w:r w:rsidR="00475578" w:rsidRPr="0009345E">
        <w:rPr>
          <w:rFonts w:ascii="Arial" w:hAnsi="Arial"/>
        </w:rPr>
        <w:t>their</w:t>
      </w:r>
      <w:r w:rsidRPr="0009345E">
        <w:rPr>
          <w:rFonts w:ascii="Arial" w:hAnsi="Arial"/>
        </w:rPr>
        <w:t xml:space="preserve"> right of appeal against the decision of the Headteacher/ Disciplinary Committee.</w:t>
      </w:r>
    </w:p>
    <w:p w14:paraId="038047F3" w14:textId="77777777" w:rsidR="00CF3078" w:rsidRPr="00D96142" w:rsidRDefault="00CF3078" w:rsidP="00D96142">
      <w:pPr>
        <w:pStyle w:val="EPMNumberedHeading"/>
        <w:ind w:left="709" w:hanging="709"/>
        <w:rPr>
          <w:rFonts w:ascii="Arial" w:hAnsi="Arial"/>
          <w:b/>
          <w:bCs/>
          <w:color w:val="auto"/>
        </w:rPr>
      </w:pPr>
      <w:r w:rsidRPr="00D96142">
        <w:rPr>
          <w:rFonts w:ascii="Arial" w:hAnsi="Arial"/>
          <w:b/>
          <w:bCs/>
          <w:color w:val="auto"/>
        </w:rPr>
        <w:t>Notes on the Procedure</w:t>
      </w:r>
    </w:p>
    <w:p w14:paraId="6B54F171" w14:textId="77777777" w:rsidR="00CF3078" w:rsidRPr="0009345E" w:rsidRDefault="00CF3078" w:rsidP="00CF3078">
      <w:pPr>
        <w:pStyle w:val="EPMNumberedSubheading"/>
        <w:rPr>
          <w:rFonts w:ascii="Arial" w:hAnsi="Arial"/>
        </w:rPr>
      </w:pPr>
      <w:r w:rsidRPr="0009345E">
        <w:rPr>
          <w:rFonts w:ascii="Arial" w:hAnsi="Arial"/>
        </w:rPr>
        <w:t>The management case may be presented by someone other than the Investigating Officer and the Investigating Officer may remain in the hearing throughout as or with the management representative. If the employee is the Headteacher, the management case will be brought by the Chair of Governors who may remain throughout the hearing if someone other than the Chair of Governors presents the case.</w:t>
      </w:r>
    </w:p>
    <w:p w14:paraId="34BF76C9" w14:textId="69EE9A05" w:rsidR="00CF3078" w:rsidRPr="0009345E" w:rsidRDefault="00CF3078" w:rsidP="00CF3078">
      <w:pPr>
        <w:pStyle w:val="EPMNumberedSubheading"/>
        <w:rPr>
          <w:rFonts w:ascii="Arial" w:hAnsi="Arial"/>
        </w:rPr>
      </w:pPr>
      <w:r w:rsidRPr="0009345E">
        <w:rPr>
          <w:rFonts w:ascii="Arial" w:hAnsi="Arial"/>
        </w:rPr>
        <w:t xml:space="preserve">The employee may choose to represent </w:t>
      </w:r>
      <w:r w:rsidR="008B6D1B" w:rsidRPr="0009345E">
        <w:rPr>
          <w:rFonts w:ascii="Arial" w:hAnsi="Arial"/>
        </w:rPr>
        <w:t>themselves</w:t>
      </w:r>
      <w:r w:rsidRPr="0009345E">
        <w:rPr>
          <w:rFonts w:ascii="Arial" w:hAnsi="Arial"/>
        </w:rPr>
        <w:t>. In such a situation the employee may be questioned as a witness.</w:t>
      </w:r>
    </w:p>
    <w:p w14:paraId="76D75E26" w14:textId="28221819" w:rsidR="008379A5" w:rsidRPr="00A17226" w:rsidRDefault="00CF3078" w:rsidP="00A17226">
      <w:pPr>
        <w:pStyle w:val="EPMNumberedSubheading"/>
        <w:rPr>
          <w:rFonts w:ascii="Arial" w:hAnsi="Arial"/>
        </w:rPr>
      </w:pPr>
      <w:r w:rsidRPr="0009345E">
        <w:rPr>
          <w:rFonts w:ascii="Arial" w:hAnsi="Arial"/>
        </w:rPr>
        <w:t>The Headteacher/Disciplinary Committee will normally have access to an adviser to advise on the law and on procedures in a community school, or in a foundation or aided school where advisory rights have been granted by the governing body to the Local Authority (LA). If dismissal may be an outcome, the LA is also entitled to have a representative present to advise the Disciplinary Committee. The Headteacher/ Disciplinary Committee will make the decision. No adviser shall vote on the matter being considered by the Headteacher/ Disciplinary Committee.</w:t>
      </w:r>
    </w:p>
    <w:sectPr w:rsidR="008379A5" w:rsidRPr="00A17226" w:rsidSect="00A17226">
      <w:headerReference w:type="default" r:id="rId13"/>
      <w:footerReference w:type="default" r:id="rId14"/>
      <w:pgSz w:w="11906" w:h="16838"/>
      <w:pgMar w:top="1276"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CB69A" w14:textId="77777777" w:rsidR="00C720BF" w:rsidRDefault="00C720BF" w:rsidP="002C1565">
      <w:r>
        <w:separator/>
      </w:r>
    </w:p>
  </w:endnote>
  <w:endnote w:type="continuationSeparator" w:id="0">
    <w:p w14:paraId="5831B8DB" w14:textId="77777777" w:rsidR="00C720BF" w:rsidRDefault="00C720BF" w:rsidP="002C1565">
      <w:r>
        <w:continuationSeparator/>
      </w:r>
    </w:p>
  </w:endnote>
  <w:endnote w:type="continuationNotice" w:id="1">
    <w:p w14:paraId="00805481" w14:textId="77777777" w:rsidR="00C720BF" w:rsidRDefault="00C72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E778" w14:textId="3F314500" w:rsidR="00F13DD1" w:rsidRPr="007E7572" w:rsidRDefault="00F13DD1" w:rsidP="00F13DD1">
    <w:pPr>
      <w:tabs>
        <w:tab w:val="left" w:pos="198"/>
        <w:tab w:val="left" w:pos="8080"/>
        <w:tab w:val="right" w:pos="9639"/>
      </w:tabs>
      <w:snapToGrid w:val="0"/>
      <w:rPr>
        <w:rFonts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EE7AE" w14:textId="77777777" w:rsidR="00C720BF" w:rsidRDefault="00C720BF" w:rsidP="002C1565">
      <w:r>
        <w:separator/>
      </w:r>
    </w:p>
  </w:footnote>
  <w:footnote w:type="continuationSeparator" w:id="0">
    <w:p w14:paraId="13C56C4A" w14:textId="77777777" w:rsidR="00C720BF" w:rsidRDefault="00C720BF" w:rsidP="002C1565">
      <w:r>
        <w:continuationSeparator/>
      </w:r>
    </w:p>
  </w:footnote>
  <w:footnote w:type="continuationNotice" w:id="1">
    <w:p w14:paraId="58C02354" w14:textId="77777777" w:rsidR="00C720BF" w:rsidRDefault="00C72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7D6"/>
    <w:multiLevelType w:val="hybridMultilevel"/>
    <w:tmpl w:val="A3187368"/>
    <w:lvl w:ilvl="0" w:tplc="F08A8B04">
      <w:numFmt w:val="bullet"/>
      <w:lvlText w:val=""/>
      <w:lvlJc w:val="left"/>
      <w:pPr>
        <w:ind w:left="1069" w:hanging="360"/>
      </w:pPr>
      <w:rPr>
        <w:rFonts w:ascii="Symbol" w:eastAsiaTheme="minorHAnsi"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1F949BC"/>
    <w:multiLevelType w:val="multilevel"/>
    <w:tmpl w:val="C3A66456"/>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5955E9"/>
    <w:multiLevelType w:val="hybridMultilevel"/>
    <w:tmpl w:val="0B201EAC"/>
    <w:lvl w:ilvl="0" w:tplc="EE0AAD9C">
      <w:start w:val="21"/>
      <w:numFmt w:val="bullet"/>
      <w:pStyle w:val="EPMBullets"/>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9547A"/>
    <w:multiLevelType w:val="hybridMultilevel"/>
    <w:tmpl w:val="196A384E"/>
    <w:lvl w:ilvl="0" w:tplc="65DC183A">
      <w:start w:val="21"/>
      <w:numFmt w:val="bullet"/>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1"/>
  </w:num>
  <w:num w:numId="2" w16cid:durableId="1364211866">
    <w:abstractNumId w:val="5"/>
  </w:num>
  <w:num w:numId="3" w16cid:durableId="603729848">
    <w:abstractNumId w:val="13"/>
  </w:num>
  <w:num w:numId="4" w16cid:durableId="773355512">
    <w:abstractNumId w:val="4"/>
  </w:num>
  <w:num w:numId="5" w16cid:durableId="1759406275">
    <w:abstractNumId w:val="12"/>
  </w:num>
  <w:num w:numId="6" w16cid:durableId="241258015">
    <w:abstractNumId w:val="2"/>
  </w:num>
  <w:num w:numId="7" w16cid:durableId="1267693963">
    <w:abstractNumId w:val="14"/>
  </w:num>
  <w:num w:numId="8" w16cid:durableId="14431850">
    <w:abstractNumId w:val="6"/>
  </w:num>
  <w:num w:numId="9" w16cid:durableId="14967319">
    <w:abstractNumId w:val="3"/>
  </w:num>
  <w:num w:numId="10" w16cid:durableId="1462842165">
    <w:abstractNumId w:val="10"/>
  </w:num>
  <w:num w:numId="11" w16cid:durableId="1658027920">
    <w:abstractNumId w:val="7"/>
  </w:num>
  <w:num w:numId="12" w16cid:durableId="169949997">
    <w:abstractNumId w:val="1"/>
  </w:num>
  <w:num w:numId="13" w16cid:durableId="1155953597">
    <w:abstractNumId w:val="0"/>
  </w:num>
  <w:num w:numId="14" w16cid:durableId="2119907222">
    <w:abstractNumId w:val="9"/>
  </w:num>
  <w:num w:numId="15" w16cid:durableId="2076660613">
    <w:abstractNumId w:val="1"/>
  </w:num>
  <w:num w:numId="16" w16cid:durableId="2001536889">
    <w:abstractNumId w:val="1"/>
  </w:num>
  <w:num w:numId="17" w16cid:durableId="930119564">
    <w:abstractNumId w:val="1"/>
  </w:num>
  <w:num w:numId="18" w16cid:durableId="1223060711">
    <w:abstractNumId w:val="1"/>
  </w:num>
  <w:num w:numId="19" w16cid:durableId="2043551621">
    <w:abstractNumId w:val="1"/>
  </w:num>
  <w:num w:numId="20" w16cid:durableId="864253457">
    <w:abstractNumId w:val="1"/>
  </w:num>
  <w:num w:numId="21" w16cid:durableId="222765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13E1B"/>
    <w:rsid w:val="00035A22"/>
    <w:rsid w:val="00050126"/>
    <w:rsid w:val="000516BA"/>
    <w:rsid w:val="00084603"/>
    <w:rsid w:val="0009345E"/>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0B5E"/>
    <w:rsid w:val="002413F4"/>
    <w:rsid w:val="00242A77"/>
    <w:rsid w:val="00245221"/>
    <w:rsid w:val="00245ACB"/>
    <w:rsid w:val="00281C6C"/>
    <w:rsid w:val="002831F4"/>
    <w:rsid w:val="00283B86"/>
    <w:rsid w:val="0029123A"/>
    <w:rsid w:val="002933BD"/>
    <w:rsid w:val="00294029"/>
    <w:rsid w:val="00297E29"/>
    <w:rsid w:val="002C1565"/>
    <w:rsid w:val="002D4A9C"/>
    <w:rsid w:val="002F6DED"/>
    <w:rsid w:val="00301F50"/>
    <w:rsid w:val="00304673"/>
    <w:rsid w:val="0033140E"/>
    <w:rsid w:val="00333FB0"/>
    <w:rsid w:val="00355D2D"/>
    <w:rsid w:val="00366CF6"/>
    <w:rsid w:val="0037093C"/>
    <w:rsid w:val="00381344"/>
    <w:rsid w:val="003B6929"/>
    <w:rsid w:val="003E3987"/>
    <w:rsid w:val="00407931"/>
    <w:rsid w:val="00411C71"/>
    <w:rsid w:val="00421226"/>
    <w:rsid w:val="00421BB3"/>
    <w:rsid w:val="00432C7B"/>
    <w:rsid w:val="00436A9B"/>
    <w:rsid w:val="00436BCB"/>
    <w:rsid w:val="00440E43"/>
    <w:rsid w:val="004651D2"/>
    <w:rsid w:val="00475578"/>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664CB"/>
    <w:rsid w:val="005E3053"/>
    <w:rsid w:val="005E3AE2"/>
    <w:rsid w:val="005E4357"/>
    <w:rsid w:val="005E5ADD"/>
    <w:rsid w:val="005F48DA"/>
    <w:rsid w:val="005F4A9C"/>
    <w:rsid w:val="006032A2"/>
    <w:rsid w:val="00604094"/>
    <w:rsid w:val="00604313"/>
    <w:rsid w:val="00616593"/>
    <w:rsid w:val="006239F7"/>
    <w:rsid w:val="00642B63"/>
    <w:rsid w:val="00643E69"/>
    <w:rsid w:val="0065669D"/>
    <w:rsid w:val="00666C8A"/>
    <w:rsid w:val="0067186A"/>
    <w:rsid w:val="00681551"/>
    <w:rsid w:val="00690386"/>
    <w:rsid w:val="00691EE9"/>
    <w:rsid w:val="00695B4A"/>
    <w:rsid w:val="006A44CE"/>
    <w:rsid w:val="006A7BC7"/>
    <w:rsid w:val="006B21DC"/>
    <w:rsid w:val="006B6B67"/>
    <w:rsid w:val="006E4EF2"/>
    <w:rsid w:val="006F4B45"/>
    <w:rsid w:val="00710AB0"/>
    <w:rsid w:val="007271F1"/>
    <w:rsid w:val="007362F4"/>
    <w:rsid w:val="007527F3"/>
    <w:rsid w:val="00756C21"/>
    <w:rsid w:val="00763D8B"/>
    <w:rsid w:val="0077514E"/>
    <w:rsid w:val="0078680D"/>
    <w:rsid w:val="007C3693"/>
    <w:rsid w:val="007D1046"/>
    <w:rsid w:val="007E2FF9"/>
    <w:rsid w:val="007E7572"/>
    <w:rsid w:val="007F6A2B"/>
    <w:rsid w:val="00813101"/>
    <w:rsid w:val="008165DC"/>
    <w:rsid w:val="00816ACA"/>
    <w:rsid w:val="008379A5"/>
    <w:rsid w:val="00854B92"/>
    <w:rsid w:val="008566A6"/>
    <w:rsid w:val="00860FF3"/>
    <w:rsid w:val="00871A61"/>
    <w:rsid w:val="008732AA"/>
    <w:rsid w:val="008931FD"/>
    <w:rsid w:val="0089463B"/>
    <w:rsid w:val="0089717B"/>
    <w:rsid w:val="00897ED5"/>
    <w:rsid w:val="008A5EFC"/>
    <w:rsid w:val="008B6D1B"/>
    <w:rsid w:val="008C0364"/>
    <w:rsid w:val="008F1ABC"/>
    <w:rsid w:val="00900C4E"/>
    <w:rsid w:val="00903E03"/>
    <w:rsid w:val="00922D59"/>
    <w:rsid w:val="00925343"/>
    <w:rsid w:val="00931AF6"/>
    <w:rsid w:val="00932C14"/>
    <w:rsid w:val="00937F85"/>
    <w:rsid w:val="00940499"/>
    <w:rsid w:val="0094173E"/>
    <w:rsid w:val="00942D0B"/>
    <w:rsid w:val="00945C3A"/>
    <w:rsid w:val="00975D06"/>
    <w:rsid w:val="009802A7"/>
    <w:rsid w:val="00993A49"/>
    <w:rsid w:val="009A218D"/>
    <w:rsid w:val="009A6654"/>
    <w:rsid w:val="009F46DB"/>
    <w:rsid w:val="009F6841"/>
    <w:rsid w:val="00A10122"/>
    <w:rsid w:val="00A17226"/>
    <w:rsid w:val="00A279F2"/>
    <w:rsid w:val="00A42D1C"/>
    <w:rsid w:val="00A45EF5"/>
    <w:rsid w:val="00A56814"/>
    <w:rsid w:val="00A7476D"/>
    <w:rsid w:val="00A7502D"/>
    <w:rsid w:val="00A83681"/>
    <w:rsid w:val="00A85732"/>
    <w:rsid w:val="00A905D0"/>
    <w:rsid w:val="00A965A0"/>
    <w:rsid w:val="00AA51F6"/>
    <w:rsid w:val="00AC141D"/>
    <w:rsid w:val="00AC28AD"/>
    <w:rsid w:val="00AC7A48"/>
    <w:rsid w:val="00AD0DE2"/>
    <w:rsid w:val="00AD35A1"/>
    <w:rsid w:val="00AE2D2C"/>
    <w:rsid w:val="00AE371E"/>
    <w:rsid w:val="00B03004"/>
    <w:rsid w:val="00B0644B"/>
    <w:rsid w:val="00B1216B"/>
    <w:rsid w:val="00B16C6E"/>
    <w:rsid w:val="00B305EE"/>
    <w:rsid w:val="00B33BCE"/>
    <w:rsid w:val="00B52414"/>
    <w:rsid w:val="00B53BDF"/>
    <w:rsid w:val="00B66E73"/>
    <w:rsid w:val="00B67BF7"/>
    <w:rsid w:val="00B83753"/>
    <w:rsid w:val="00B93939"/>
    <w:rsid w:val="00BA2D0A"/>
    <w:rsid w:val="00BB3C7A"/>
    <w:rsid w:val="00BC7D74"/>
    <w:rsid w:val="00BD195D"/>
    <w:rsid w:val="00BD1BEB"/>
    <w:rsid w:val="00C22AB0"/>
    <w:rsid w:val="00C537ED"/>
    <w:rsid w:val="00C62CC5"/>
    <w:rsid w:val="00C720BF"/>
    <w:rsid w:val="00C72AEC"/>
    <w:rsid w:val="00C91E4C"/>
    <w:rsid w:val="00C92092"/>
    <w:rsid w:val="00C963F8"/>
    <w:rsid w:val="00CA3373"/>
    <w:rsid w:val="00CC3856"/>
    <w:rsid w:val="00CD1D8B"/>
    <w:rsid w:val="00CD780F"/>
    <w:rsid w:val="00CE3DA9"/>
    <w:rsid w:val="00CF3078"/>
    <w:rsid w:val="00D07678"/>
    <w:rsid w:val="00D07B35"/>
    <w:rsid w:val="00D201BA"/>
    <w:rsid w:val="00D31B75"/>
    <w:rsid w:val="00D42118"/>
    <w:rsid w:val="00D5176C"/>
    <w:rsid w:val="00D51F2A"/>
    <w:rsid w:val="00D55A17"/>
    <w:rsid w:val="00D60B2E"/>
    <w:rsid w:val="00D71D27"/>
    <w:rsid w:val="00D74F3B"/>
    <w:rsid w:val="00D96142"/>
    <w:rsid w:val="00D96BEF"/>
    <w:rsid w:val="00DA1626"/>
    <w:rsid w:val="00DC27CF"/>
    <w:rsid w:val="00DC4A06"/>
    <w:rsid w:val="00DD4B19"/>
    <w:rsid w:val="00DD4C62"/>
    <w:rsid w:val="00DD4D48"/>
    <w:rsid w:val="00DD7009"/>
    <w:rsid w:val="00DF7A1F"/>
    <w:rsid w:val="00E0056B"/>
    <w:rsid w:val="00E02082"/>
    <w:rsid w:val="00E06FC0"/>
    <w:rsid w:val="00E1213F"/>
    <w:rsid w:val="00E32641"/>
    <w:rsid w:val="00E32680"/>
    <w:rsid w:val="00E36ACB"/>
    <w:rsid w:val="00E40C60"/>
    <w:rsid w:val="00E56A28"/>
    <w:rsid w:val="00E5723E"/>
    <w:rsid w:val="00E757DC"/>
    <w:rsid w:val="00E834DF"/>
    <w:rsid w:val="00E971F8"/>
    <w:rsid w:val="00EB113B"/>
    <w:rsid w:val="00EF2A7B"/>
    <w:rsid w:val="00EF68C6"/>
    <w:rsid w:val="00F02929"/>
    <w:rsid w:val="00F046AC"/>
    <w:rsid w:val="00F13DD1"/>
    <w:rsid w:val="00F17EA3"/>
    <w:rsid w:val="00F3311D"/>
    <w:rsid w:val="00F3479B"/>
    <w:rsid w:val="00F51696"/>
    <w:rsid w:val="00F532B2"/>
    <w:rsid w:val="00F57585"/>
    <w:rsid w:val="00F66A35"/>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21"/>
      </w:numPr>
      <w:spacing w:before="120" w:after="1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F02929"/>
    <w:pPr>
      <w:numPr>
        <w:ilvl w:val="1"/>
        <w:numId w:val="12"/>
      </w:numPr>
      <w:ind w:left="1418" w:hanging="709"/>
    </w:pPr>
    <w:rPr>
      <w:rFonts w:ascii="Avenir Next LT Pro" w:hAnsi="Avenir Next LT Pro"/>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F02929"/>
    <w:rPr>
      <w:rFonts w:ascii="Avenir Next LT Pro" w:hAnsi="Avenir Next LT Pro"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Revision">
    <w:name w:val="Revision"/>
    <w:hidden/>
    <w:uiPriority w:val="99"/>
    <w:semiHidden/>
    <w:rsid w:val="008B6D1B"/>
    <w:rPr>
      <w:rFonts w:ascii="Arial" w:hAnsi="Arial"/>
    </w:rPr>
  </w:style>
  <w:style w:type="paragraph" w:customStyle="1" w:styleId="EPMPolicyTitle">
    <w:name w:val="EPM Policy Title"/>
    <w:basedOn w:val="Title"/>
    <w:link w:val="EPMPolicyTitleChar"/>
    <w:qFormat/>
    <w:rsid w:val="00BD1BEB"/>
    <w:rPr>
      <w:rFonts w:ascii="Arial" w:hAnsi="Arial" w:cs="Arial"/>
      <w:b/>
      <w:bCs/>
      <w:noProof/>
      <w:sz w:val="72"/>
      <w:szCs w:val="72"/>
    </w:rPr>
  </w:style>
  <w:style w:type="character" w:customStyle="1" w:styleId="EPMPolicyTitleChar">
    <w:name w:val="EPM Policy Title Char"/>
    <w:basedOn w:val="TitleChar"/>
    <w:link w:val="EPMPolicyTitle"/>
    <w:rsid w:val="00BD1BEB"/>
    <w:rPr>
      <w:rFonts w:ascii="Arial" w:eastAsiaTheme="majorEastAsia" w:hAnsi="Arial" w:cs="Arial"/>
      <w:b/>
      <w:bCs/>
      <w:noProof/>
      <w:spacing w:val="-10"/>
      <w:kern w:val="28"/>
      <w:sz w:val="72"/>
      <w:szCs w:val="72"/>
    </w:rPr>
  </w:style>
  <w:style w:type="paragraph" w:customStyle="1" w:styleId="Standardpolicywording">
    <w:name w:val="Standard policy wording"/>
    <w:basedOn w:val="Normal"/>
    <w:link w:val="StandardpolicywordingChar"/>
    <w:rsid w:val="00E02082"/>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E02082"/>
    <w:rPr>
      <w:rFonts w:ascii="Arial" w:hAnsi="Arial" w:cstheme="minorHAnsi"/>
      <w:color w:val="FFFFFF" w:themeColor="background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86581-35A8-4692-9F51-18292AC89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14</cp:revision>
  <dcterms:created xsi:type="dcterms:W3CDTF">2024-10-01T08:53:00Z</dcterms:created>
  <dcterms:modified xsi:type="dcterms:W3CDTF">2024-10-01T09:13:00Z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ies>
</file>