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1229" w14:textId="22D3D844"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3850D6">
              <v:shapetype id="_x0000_t5" coordsize="21600,21600" o:spt="5" adj="10800" path="m@0,l,21600r21600,xe" w14:anchorId="0F94D80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v:textbox inset="0,0,0,0"/>
                <w10:wrap anchorx="page"/>
              </v:shape>
            </w:pict>
          </mc:Fallback>
        </mc:AlternateContent>
      </w:r>
      <w:bookmarkEnd w:id="0"/>
      <w:r w:rsidR="00094D9E">
        <w:t>Headteacher Annual Salary Assessment</w:t>
      </w:r>
    </w:p>
    <w:p w14:paraId="331A6A20" w14:textId="090DB203" w:rsidR="00D55A17" w:rsidRPr="007E7572" w:rsidRDefault="00094D9E" w:rsidP="00317F9A">
      <w:pPr>
        <w:pStyle w:val="EPMSubtitle"/>
        <w:sectPr w:rsidR="00D55A17" w:rsidRPr="007E7572" w:rsidSect="00666C8A">
          <w:footerReference w:type="default" r:id="rId13"/>
          <w:pgSz w:w="11906" w:h="16838"/>
          <w:pgMar w:top="2842" w:right="1021" w:bottom="851" w:left="1021" w:header="709" w:footer="544" w:gutter="0"/>
          <w:cols w:space="708"/>
          <w:docGrid w:linePitch="360"/>
        </w:sectPr>
      </w:pPr>
      <w:r>
        <w:t>Guide for Trustees</w:t>
      </w:r>
    </w:p>
    <w:p w14:paraId="422402A8" w14:textId="77777777" w:rsidR="00094D9E" w:rsidRDefault="00094D9E" w:rsidP="00094D9E">
      <w:pPr>
        <w:pStyle w:val="EPMHeading2"/>
        <w:rPr>
          <w:sz w:val="32"/>
          <w:szCs w:val="32"/>
        </w:rPr>
      </w:pPr>
      <w:r w:rsidRPr="00094D9E">
        <w:rPr>
          <w:sz w:val="32"/>
          <w:szCs w:val="32"/>
        </w:rPr>
        <w:lastRenderedPageBreak/>
        <w:t>Contents</w:t>
      </w:r>
    </w:p>
    <w:p w14:paraId="3C683CA1" w14:textId="77777777" w:rsidR="00094D9E" w:rsidRPr="00094D9E" w:rsidRDefault="00094D9E" w:rsidP="00094D9E">
      <w:pPr>
        <w:pStyle w:val="EPMHeading2"/>
        <w:rPr>
          <w:sz w:val="32"/>
          <w:szCs w:val="32"/>
        </w:rPr>
      </w:pPr>
    </w:p>
    <w:p w14:paraId="7A86C97C" w14:textId="3B1CE73F" w:rsidR="00094D9E" w:rsidRPr="00307421" w:rsidRDefault="00094D9E" w:rsidP="00305C80">
      <w:pPr>
        <w:pStyle w:val="EPMHeading2"/>
        <w:tabs>
          <w:tab w:val="right" w:pos="9072"/>
        </w:tabs>
        <w:ind w:right="-28"/>
        <w:rPr>
          <w:rFonts w:ascii="Avenir Next Demi Bold" w:hAnsi="Avenir Next Demi Bold"/>
          <w:sz w:val="21"/>
          <w:szCs w:val="21"/>
        </w:rPr>
      </w:pPr>
      <w:r w:rsidRPr="00307421">
        <w:rPr>
          <w:rFonts w:ascii="Avenir Next Demi Bold" w:hAnsi="Avenir Next Demi Bold"/>
          <w:sz w:val="21"/>
          <w:szCs w:val="21"/>
        </w:rPr>
        <w:t>Headteacher Annual Salary Assessment</w:t>
      </w:r>
      <w:r w:rsidRPr="00307421">
        <w:rPr>
          <w:rFonts w:ascii="Avenir Next Demi Bold" w:hAnsi="Avenir Next Demi Bold"/>
          <w:sz w:val="21"/>
          <w:szCs w:val="21"/>
        </w:rPr>
        <w:tab/>
      </w:r>
      <w:r w:rsidR="00741B45" w:rsidRPr="00307421">
        <w:rPr>
          <w:rFonts w:ascii="Avenir Next Demi Bold" w:hAnsi="Avenir Next Demi Bold"/>
          <w:sz w:val="21"/>
          <w:szCs w:val="21"/>
        </w:rPr>
        <w:t>3</w:t>
      </w:r>
    </w:p>
    <w:p w14:paraId="1FEC8DD0" w14:textId="47556D5F" w:rsidR="00094D9E" w:rsidRPr="00DF3C25" w:rsidRDefault="00094D9E" w:rsidP="00317F9A">
      <w:pPr>
        <w:pStyle w:val="EPMHeading2"/>
        <w:tabs>
          <w:tab w:val="right" w:pos="1134"/>
          <w:tab w:val="center" w:pos="2268"/>
          <w:tab w:val="decimal" w:pos="9072"/>
        </w:tabs>
        <w:ind w:left="851" w:right="-170" w:hanging="851"/>
        <w:rPr>
          <w:rFonts w:ascii="Avenir Next LT Pro Light" w:hAnsi="Avenir Next LT Pro Light"/>
          <w:sz w:val="21"/>
          <w:szCs w:val="21"/>
        </w:rPr>
      </w:pPr>
      <w:r w:rsidRPr="00DF3C25">
        <w:rPr>
          <w:rFonts w:ascii="Avenir Next LT Pro Light" w:hAnsi="Avenir Next LT Pro Light"/>
          <w:color w:val="A31457"/>
          <w:sz w:val="21"/>
          <w:szCs w:val="21"/>
        </w:rPr>
        <w:t>1.</w:t>
      </w:r>
      <w:r w:rsidRPr="00DF3C25">
        <w:rPr>
          <w:rFonts w:ascii="Avenir Next LT Pro Light" w:hAnsi="Avenir Next LT Pro Light"/>
          <w:color w:val="A31457"/>
          <w:sz w:val="21"/>
          <w:szCs w:val="21"/>
        </w:rPr>
        <w:tab/>
        <w:t xml:space="preserve">Senior </w:t>
      </w:r>
      <w:r w:rsidR="009B79A3">
        <w:rPr>
          <w:rFonts w:ascii="Avenir Next LT Pro Light" w:hAnsi="Avenir Next LT Pro Light"/>
          <w:color w:val="A31457"/>
          <w:sz w:val="21"/>
          <w:szCs w:val="21"/>
        </w:rPr>
        <w:t>People</w:t>
      </w:r>
      <w:r w:rsidRPr="00DF3C25">
        <w:rPr>
          <w:rFonts w:ascii="Avenir Next LT Pro Light" w:hAnsi="Avenir Next LT Pro Light"/>
          <w:color w:val="A31457"/>
          <w:sz w:val="21"/>
          <w:szCs w:val="21"/>
        </w:rPr>
        <w:t xml:space="preserve"> Partner Details</w:t>
      </w:r>
      <w:r w:rsidRPr="00DF3C25">
        <w:rPr>
          <w:rFonts w:ascii="Avenir Next LT Pro Light" w:hAnsi="Avenir Next LT Pro Light"/>
          <w:sz w:val="21"/>
          <w:szCs w:val="21"/>
        </w:rPr>
        <w:tab/>
      </w:r>
      <w:r w:rsidR="00741B45" w:rsidRPr="007101F7">
        <w:rPr>
          <w:rFonts w:ascii="Avenir Next LT Pro Light" w:hAnsi="Avenir Next LT Pro Light"/>
          <w:color w:val="A31457"/>
          <w:sz w:val="21"/>
          <w:szCs w:val="21"/>
        </w:rPr>
        <w:t>3</w:t>
      </w:r>
    </w:p>
    <w:p w14:paraId="51093077" w14:textId="1186C0F4" w:rsidR="00094D9E" w:rsidRPr="007101F7" w:rsidRDefault="00094D9E" w:rsidP="0008762F">
      <w:pPr>
        <w:pStyle w:val="EPMHeading2"/>
        <w:tabs>
          <w:tab w:val="right" w:pos="9044"/>
        </w:tabs>
        <w:ind w:left="851" w:right="255" w:hanging="851"/>
        <w:rPr>
          <w:rFonts w:ascii="Avenir Next LT Pro Light" w:hAnsi="Avenir Next LT Pro Light"/>
          <w:color w:val="A31457"/>
          <w:sz w:val="21"/>
          <w:szCs w:val="21"/>
        </w:rPr>
      </w:pPr>
      <w:r w:rsidRPr="00DF3C25">
        <w:rPr>
          <w:rFonts w:ascii="Avenir Next LT Pro Light" w:hAnsi="Avenir Next LT Pro Light"/>
          <w:color w:val="A31457"/>
          <w:sz w:val="21"/>
          <w:szCs w:val="21"/>
        </w:rPr>
        <w:t>2.</w:t>
      </w:r>
      <w:r w:rsidRPr="00DF3C25">
        <w:rPr>
          <w:rFonts w:ascii="Avenir Next LT Pro Light" w:hAnsi="Avenir Next LT Pro Light"/>
          <w:color w:val="A31457"/>
          <w:sz w:val="21"/>
          <w:szCs w:val="21"/>
        </w:rPr>
        <w:tab/>
        <w:t>Advice and Guidance for Trustees on the Salaries of Headteachers in accordance with the STPCD 202</w:t>
      </w:r>
      <w:r w:rsidR="00182F0C">
        <w:rPr>
          <w:rFonts w:ascii="Avenir Next LT Pro Light" w:hAnsi="Avenir Next LT Pro Light"/>
          <w:color w:val="A31457"/>
          <w:sz w:val="21"/>
          <w:szCs w:val="21"/>
        </w:rPr>
        <w:t>5</w:t>
      </w:r>
      <w:r w:rsidRPr="00DF3C25">
        <w:rPr>
          <w:rFonts w:ascii="Avenir Next LT Pro Light" w:hAnsi="Avenir Next LT Pro Light"/>
          <w:sz w:val="21"/>
          <w:szCs w:val="21"/>
        </w:rPr>
        <w:tab/>
      </w:r>
      <w:r w:rsidR="007101F7" w:rsidRPr="007101F7">
        <w:rPr>
          <w:rFonts w:ascii="Avenir Next LT Pro Light" w:hAnsi="Avenir Next LT Pro Light"/>
          <w:color w:val="A31457"/>
          <w:sz w:val="21"/>
          <w:szCs w:val="21"/>
        </w:rPr>
        <w:t>3</w:t>
      </w:r>
    </w:p>
    <w:p w14:paraId="68951F24" w14:textId="218026BD"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3.</w:t>
      </w:r>
      <w:r w:rsidRPr="007101F7">
        <w:rPr>
          <w:rFonts w:ascii="Avenir Next LT Pro Light" w:hAnsi="Avenir Next LT Pro Light"/>
          <w:color w:val="A31457"/>
          <w:sz w:val="21"/>
          <w:szCs w:val="21"/>
        </w:rPr>
        <w:tab/>
        <w:t>Pay – General</w:t>
      </w:r>
      <w:r w:rsidRPr="007101F7">
        <w:rPr>
          <w:rFonts w:ascii="Avenir Next LT Pro Light" w:hAnsi="Avenir Next LT Pro Light"/>
          <w:color w:val="A31457"/>
          <w:sz w:val="21"/>
          <w:szCs w:val="21"/>
        </w:rPr>
        <w:tab/>
      </w:r>
      <w:r w:rsidR="00741B45" w:rsidRPr="007101F7">
        <w:rPr>
          <w:rFonts w:ascii="Avenir Next LT Pro Light" w:hAnsi="Avenir Next LT Pro Light"/>
          <w:color w:val="A31457"/>
          <w:sz w:val="21"/>
          <w:szCs w:val="21"/>
        </w:rPr>
        <w:t>4</w:t>
      </w:r>
    </w:p>
    <w:p w14:paraId="3BD8A715" w14:textId="5C393714"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4.</w:t>
      </w:r>
      <w:r w:rsidRPr="007101F7">
        <w:rPr>
          <w:rFonts w:ascii="Avenir Next LT Pro Light" w:hAnsi="Avenir Next LT Pro Light"/>
          <w:color w:val="A31457"/>
          <w:sz w:val="21"/>
          <w:szCs w:val="21"/>
        </w:rPr>
        <w:tab/>
        <w:t>Leadership Group Pay Range 202</w:t>
      </w:r>
      <w:r w:rsidR="00182F0C">
        <w:rPr>
          <w:rFonts w:ascii="Avenir Next LT Pro Light" w:hAnsi="Avenir Next LT Pro Light"/>
          <w:color w:val="A31457"/>
          <w:sz w:val="21"/>
          <w:szCs w:val="21"/>
        </w:rPr>
        <w:t>5</w:t>
      </w:r>
      <w:r w:rsidRPr="007101F7">
        <w:rPr>
          <w:rFonts w:ascii="Avenir Next LT Pro Light" w:hAnsi="Avenir Next LT Pro Light"/>
          <w:color w:val="A31457"/>
          <w:sz w:val="21"/>
          <w:szCs w:val="21"/>
        </w:rPr>
        <w:t xml:space="preserve"> – Annual Salary</w:t>
      </w:r>
      <w:r w:rsidRPr="007101F7">
        <w:rPr>
          <w:rFonts w:ascii="Avenir Next LT Pro Light" w:hAnsi="Avenir Next LT Pro Light"/>
          <w:color w:val="A31457"/>
          <w:sz w:val="21"/>
          <w:szCs w:val="21"/>
        </w:rPr>
        <w:tab/>
      </w:r>
      <w:r w:rsidR="00741B45" w:rsidRPr="007101F7">
        <w:rPr>
          <w:rFonts w:ascii="Avenir Next LT Pro Light" w:hAnsi="Avenir Next LT Pro Light"/>
          <w:color w:val="A31457"/>
          <w:sz w:val="21"/>
          <w:szCs w:val="21"/>
        </w:rPr>
        <w:t>4</w:t>
      </w:r>
    </w:p>
    <w:p w14:paraId="018EA5E7" w14:textId="3E537F72"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5.</w:t>
      </w:r>
      <w:r w:rsidRPr="007101F7">
        <w:rPr>
          <w:rFonts w:ascii="Avenir Next LT Pro Light" w:hAnsi="Avenir Next LT Pro Light"/>
          <w:color w:val="A31457"/>
          <w:sz w:val="21"/>
          <w:szCs w:val="21"/>
        </w:rPr>
        <w:tab/>
        <w:t>Determination of the School’s Headteacher Group</w:t>
      </w:r>
      <w:r w:rsidRPr="007101F7">
        <w:rPr>
          <w:rFonts w:ascii="Avenir Next LT Pro Light" w:hAnsi="Avenir Next LT Pro Light"/>
          <w:color w:val="A31457"/>
          <w:sz w:val="21"/>
          <w:szCs w:val="21"/>
        </w:rPr>
        <w:tab/>
      </w:r>
      <w:r w:rsidR="007101F7">
        <w:rPr>
          <w:rFonts w:ascii="Avenir Next LT Pro Light" w:hAnsi="Avenir Next LT Pro Light"/>
          <w:color w:val="A31457"/>
          <w:sz w:val="21"/>
          <w:szCs w:val="21"/>
        </w:rPr>
        <w:t>4</w:t>
      </w:r>
    </w:p>
    <w:p w14:paraId="587F3727" w14:textId="3921778C"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6.</w:t>
      </w:r>
      <w:r w:rsidRPr="007101F7">
        <w:rPr>
          <w:rFonts w:ascii="Avenir Next LT Pro Light" w:hAnsi="Avenir Next LT Pro Light"/>
          <w:color w:val="A31457"/>
          <w:sz w:val="21"/>
          <w:szCs w:val="21"/>
        </w:rPr>
        <w:tab/>
        <w:t>Unit Totals and Headteacher Groups – Ordinary Schools</w:t>
      </w:r>
      <w:r w:rsidRPr="007101F7">
        <w:rPr>
          <w:rFonts w:ascii="Avenir Next LT Pro Light" w:hAnsi="Avenir Next LT Pro Light"/>
          <w:color w:val="A31457"/>
          <w:sz w:val="21"/>
          <w:szCs w:val="21"/>
        </w:rPr>
        <w:tab/>
      </w:r>
      <w:r w:rsidR="007101F7">
        <w:rPr>
          <w:rFonts w:ascii="Avenir Next LT Pro Light" w:hAnsi="Avenir Next LT Pro Light"/>
          <w:color w:val="A31457"/>
          <w:sz w:val="21"/>
          <w:szCs w:val="21"/>
        </w:rPr>
        <w:t>5</w:t>
      </w:r>
    </w:p>
    <w:p w14:paraId="2373C1C4" w14:textId="01439D16"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7.</w:t>
      </w:r>
      <w:r w:rsidRPr="007101F7">
        <w:rPr>
          <w:rFonts w:ascii="Avenir Next LT Pro Light" w:hAnsi="Avenir Next LT Pro Light"/>
          <w:color w:val="A31457"/>
          <w:sz w:val="21"/>
          <w:szCs w:val="21"/>
        </w:rPr>
        <w:tab/>
        <w:t>Unit Totals and Headteacher Groups – Special Schools</w:t>
      </w:r>
      <w:r w:rsidRPr="007101F7">
        <w:rPr>
          <w:rFonts w:ascii="Avenir Next LT Pro Light" w:hAnsi="Avenir Next LT Pro Light"/>
          <w:color w:val="A31457"/>
          <w:sz w:val="21"/>
          <w:szCs w:val="21"/>
        </w:rPr>
        <w:tab/>
      </w:r>
      <w:r w:rsidR="005F6A48">
        <w:rPr>
          <w:rFonts w:ascii="Avenir Next LT Pro Light" w:hAnsi="Avenir Next LT Pro Light"/>
          <w:color w:val="A31457"/>
          <w:sz w:val="21"/>
          <w:szCs w:val="21"/>
        </w:rPr>
        <w:t>6</w:t>
      </w:r>
    </w:p>
    <w:p w14:paraId="2ADD3F0A" w14:textId="59ED6A9B"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7101F7">
        <w:rPr>
          <w:rFonts w:ascii="Avenir Next LT Pro Light" w:hAnsi="Avenir Next LT Pro Light"/>
          <w:color w:val="A31457"/>
          <w:sz w:val="21"/>
          <w:szCs w:val="21"/>
        </w:rPr>
        <w:t>8.</w:t>
      </w:r>
      <w:r w:rsidRPr="007101F7">
        <w:rPr>
          <w:rFonts w:ascii="Avenir Next LT Pro Light" w:hAnsi="Avenir Next LT Pro Light"/>
          <w:color w:val="A31457"/>
          <w:sz w:val="21"/>
          <w:szCs w:val="21"/>
        </w:rPr>
        <w:tab/>
        <w:t>Unit Totals and Headteacher Groups – Particular Cases</w:t>
      </w:r>
      <w:r w:rsidRPr="007101F7">
        <w:rPr>
          <w:rFonts w:ascii="Avenir Next LT Pro Light" w:hAnsi="Avenir Next LT Pro Light"/>
          <w:color w:val="A31457"/>
          <w:sz w:val="21"/>
          <w:szCs w:val="21"/>
        </w:rPr>
        <w:tab/>
      </w:r>
      <w:r w:rsidR="005F6A48">
        <w:rPr>
          <w:rFonts w:ascii="Avenir Next LT Pro Light" w:hAnsi="Avenir Next LT Pro Light"/>
          <w:color w:val="A31457"/>
          <w:sz w:val="21"/>
          <w:szCs w:val="21"/>
        </w:rPr>
        <w:t>8</w:t>
      </w:r>
    </w:p>
    <w:p w14:paraId="04C83D60" w14:textId="4AE2B099" w:rsidR="00094D9E" w:rsidRPr="00307421" w:rsidRDefault="00094D9E" w:rsidP="00C81E37">
      <w:pPr>
        <w:pStyle w:val="EPMHeading2"/>
        <w:tabs>
          <w:tab w:val="right" w:pos="9044"/>
        </w:tabs>
        <w:rPr>
          <w:sz w:val="21"/>
          <w:szCs w:val="21"/>
        </w:rPr>
      </w:pPr>
      <w:r w:rsidRPr="00307421">
        <w:rPr>
          <w:sz w:val="21"/>
          <w:szCs w:val="21"/>
        </w:rPr>
        <w:t>Pay Progression</w:t>
      </w:r>
      <w:r w:rsidRPr="00307421">
        <w:rPr>
          <w:sz w:val="21"/>
          <w:szCs w:val="21"/>
        </w:rPr>
        <w:tab/>
      </w:r>
      <w:r w:rsidR="005F6A48">
        <w:rPr>
          <w:sz w:val="21"/>
          <w:szCs w:val="21"/>
        </w:rPr>
        <w:t>8</w:t>
      </w:r>
    </w:p>
    <w:p w14:paraId="10E73E15" w14:textId="0C785529" w:rsidR="00094D9E" w:rsidRPr="007101F7" w:rsidRDefault="00094D9E" w:rsidP="00317F9A">
      <w:pPr>
        <w:pStyle w:val="EPMHeading2"/>
        <w:tabs>
          <w:tab w:val="left" w:pos="851"/>
          <w:tab w:val="right" w:pos="9044"/>
        </w:tabs>
        <w:rPr>
          <w:rFonts w:ascii="Avenir Next LT Pro Light" w:hAnsi="Avenir Next LT Pro Light"/>
          <w:color w:val="A31457"/>
          <w:sz w:val="21"/>
          <w:szCs w:val="21"/>
        </w:rPr>
      </w:pPr>
      <w:r w:rsidRPr="00DF3C25">
        <w:rPr>
          <w:rFonts w:ascii="Avenir Next LT Pro Light" w:hAnsi="Avenir Next LT Pro Light"/>
          <w:color w:val="A31457"/>
          <w:sz w:val="21"/>
          <w:szCs w:val="21"/>
        </w:rPr>
        <w:t>9.</w:t>
      </w:r>
      <w:r w:rsidRPr="00DF3C25">
        <w:rPr>
          <w:rFonts w:ascii="Avenir Next LT Pro Light" w:hAnsi="Avenir Next LT Pro Light"/>
          <w:color w:val="A31457"/>
          <w:sz w:val="21"/>
          <w:szCs w:val="21"/>
        </w:rPr>
        <w:tab/>
        <w:t>Determination of Leadership Pay Ranges</w:t>
      </w:r>
      <w:r w:rsidRPr="00DF3C25">
        <w:rPr>
          <w:rFonts w:ascii="Avenir Next LT Pro Light" w:hAnsi="Avenir Next LT Pro Light"/>
          <w:sz w:val="21"/>
          <w:szCs w:val="21"/>
        </w:rPr>
        <w:tab/>
      </w:r>
      <w:r w:rsidR="005F6A48">
        <w:rPr>
          <w:rFonts w:ascii="Avenir Next LT Pro Light" w:hAnsi="Avenir Next LT Pro Light"/>
          <w:color w:val="A31457"/>
          <w:sz w:val="21"/>
          <w:szCs w:val="21"/>
        </w:rPr>
        <w:t>8</w:t>
      </w:r>
    </w:p>
    <w:p w14:paraId="12455392" w14:textId="6F443021" w:rsidR="00094D9E" w:rsidRPr="005F6A48" w:rsidRDefault="00094D9E" w:rsidP="00317F9A">
      <w:pPr>
        <w:pStyle w:val="EPMHeading2"/>
        <w:tabs>
          <w:tab w:val="left" w:pos="851"/>
          <w:tab w:val="right" w:pos="9044"/>
        </w:tabs>
        <w:rPr>
          <w:rFonts w:ascii="Avenir Next LT Pro Light" w:hAnsi="Avenir Next LT Pro Light"/>
          <w:color w:val="A31457"/>
          <w:sz w:val="21"/>
          <w:szCs w:val="21"/>
        </w:rPr>
      </w:pPr>
      <w:r w:rsidRPr="00DF3C25">
        <w:rPr>
          <w:rFonts w:ascii="Avenir Next LT Pro Light" w:hAnsi="Avenir Next LT Pro Light"/>
          <w:color w:val="A31457"/>
          <w:sz w:val="21"/>
          <w:szCs w:val="21"/>
        </w:rPr>
        <w:t>10.</w:t>
      </w:r>
      <w:r w:rsidRPr="00DF3C25">
        <w:rPr>
          <w:rFonts w:ascii="Avenir Next LT Pro Light" w:hAnsi="Avenir Next LT Pro Light"/>
          <w:color w:val="A31457"/>
          <w:sz w:val="21"/>
          <w:szCs w:val="21"/>
        </w:rPr>
        <w:tab/>
        <w:t>Determination of Temporary Payments to Headteachers</w:t>
      </w:r>
      <w:r w:rsidRPr="00DF3C25">
        <w:rPr>
          <w:rFonts w:ascii="Avenir Next LT Pro Light" w:hAnsi="Avenir Next LT Pro Light"/>
          <w:sz w:val="21"/>
          <w:szCs w:val="21"/>
        </w:rPr>
        <w:tab/>
      </w:r>
      <w:r w:rsidR="005F6A48" w:rsidRPr="005F6A48">
        <w:rPr>
          <w:rFonts w:ascii="Avenir Next LT Pro Light" w:hAnsi="Avenir Next LT Pro Light"/>
          <w:color w:val="A31457"/>
          <w:sz w:val="21"/>
          <w:szCs w:val="21"/>
        </w:rPr>
        <w:t>9</w:t>
      </w:r>
    </w:p>
    <w:p w14:paraId="08A3B466" w14:textId="3CCBBDFC" w:rsidR="00094D9E" w:rsidRPr="007101F7" w:rsidRDefault="00094D9E" w:rsidP="00317F9A">
      <w:pPr>
        <w:pStyle w:val="EPMHeading2"/>
        <w:tabs>
          <w:tab w:val="left" w:pos="851"/>
          <w:tab w:val="right" w:pos="9044"/>
        </w:tabs>
        <w:ind w:left="1134" w:hanging="1134"/>
        <w:rPr>
          <w:rFonts w:ascii="Avenir Next LT Pro Light" w:hAnsi="Avenir Next LT Pro Light"/>
          <w:color w:val="A31457"/>
          <w:sz w:val="21"/>
          <w:szCs w:val="21"/>
        </w:rPr>
      </w:pPr>
      <w:r w:rsidRPr="00DF3C25">
        <w:rPr>
          <w:rFonts w:ascii="Avenir Next LT Pro Light" w:hAnsi="Avenir Next LT Pro Light"/>
          <w:color w:val="A31457"/>
          <w:sz w:val="21"/>
          <w:szCs w:val="21"/>
        </w:rPr>
        <w:t>11.</w:t>
      </w:r>
      <w:r w:rsidRPr="00DF3C25">
        <w:rPr>
          <w:rFonts w:ascii="Avenir Next LT Pro Light" w:hAnsi="Avenir Next LT Pro Light"/>
          <w:color w:val="A31457"/>
          <w:sz w:val="21"/>
          <w:szCs w:val="21"/>
        </w:rPr>
        <w:tab/>
        <w:t>Pay Progression for Leadership Group Members</w:t>
      </w:r>
      <w:r w:rsidRPr="00DF3C25">
        <w:rPr>
          <w:rFonts w:ascii="Avenir Next LT Pro Light" w:hAnsi="Avenir Next LT Pro Light"/>
          <w:sz w:val="21"/>
          <w:szCs w:val="21"/>
        </w:rPr>
        <w:tab/>
      </w:r>
      <w:r w:rsidR="005F6A48">
        <w:rPr>
          <w:rFonts w:ascii="Avenir Next LT Pro Light" w:hAnsi="Avenir Next LT Pro Light"/>
          <w:color w:val="A31457"/>
          <w:sz w:val="21"/>
          <w:szCs w:val="21"/>
        </w:rPr>
        <w:t>9</w:t>
      </w:r>
    </w:p>
    <w:p w14:paraId="0B4C74EA" w14:textId="4ABC91EE" w:rsidR="00094D9E" w:rsidRPr="00307421" w:rsidRDefault="00094D9E" w:rsidP="00C81E37">
      <w:pPr>
        <w:pStyle w:val="EPMHeading2"/>
        <w:tabs>
          <w:tab w:val="right" w:pos="9044"/>
        </w:tabs>
        <w:rPr>
          <w:sz w:val="21"/>
          <w:szCs w:val="21"/>
        </w:rPr>
      </w:pPr>
      <w:r w:rsidRPr="00307421">
        <w:rPr>
          <w:sz w:val="21"/>
          <w:szCs w:val="21"/>
        </w:rPr>
        <w:t>Leadership Group Pay (paragraphs 4-11)</w:t>
      </w:r>
      <w:r w:rsidRPr="00307421">
        <w:rPr>
          <w:sz w:val="21"/>
          <w:szCs w:val="21"/>
        </w:rPr>
        <w:tab/>
      </w:r>
      <w:r w:rsidR="00741B45" w:rsidRPr="00307421">
        <w:rPr>
          <w:sz w:val="21"/>
          <w:szCs w:val="21"/>
        </w:rPr>
        <w:t>1</w:t>
      </w:r>
      <w:r w:rsidR="005F6A48">
        <w:rPr>
          <w:sz w:val="21"/>
          <w:szCs w:val="21"/>
        </w:rPr>
        <w:t>0</w:t>
      </w:r>
    </w:p>
    <w:p w14:paraId="0F2DEFE8" w14:textId="41C1BBC9" w:rsidR="00094D9E" w:rsidRPr="00307421" w:rsidRDefault="00094D9E" w:rsidP="00C81E37">
      <w:pPr>
        <w:pStyle w:val="EPMHeading2"/>
        <w:tabs>
          <w:tab w:val="right" w:pos="9044"/>
        </w:tabs>
        <w:rPr>
          <w:sz w:val="21"/>
          <w:szCs w:val="21"/>
        </w:rPr>
      </w:pPr>
      <w:r w:rsidRPr="00307421">
        <w:rPr>
          <w:sz w:val="21"/>
          <w:szCs w:val="21"/>
        </w:rPr>
        <w:t>Headteacher’s Pay Range</w:t>
      </w:r>
      <w:r w:rsidRPr="00307421">
        <w:rPr>
          <w:sz w:val="21"/>
          <w:szCs w:val="21"/>
        </w:rPr>
        <w:tab/>
      </w:r>
      <w:r w:rsidR="00741B45" w:rsidRPr="00307421">
        <w:rPr>
          <w:sz w:val="21"/>
          <w:szCs w:val="21"/>
        </w:rPr>
        <w:t>1</w:t>
      </w:r>
      <w:r w:rsidR="005F6A48">
        <w:rPr>
          <w:sz w:val="21"/>
          <w:szCs w:val="21"/>
        </w:rPr>
        <w:t>0</w:t>
      </w:r>
    </w:p>
    <w:p w14:paraId="705941EA" w14:textId="071DFC19" w:rsidR="00094D9E" w:rsidRPr="00307421" w:rsidRDefault="00094D9E" w:rsidP="00C81E37">
      <w:pPr>
        <w:pStyle w:val="EPMHeading2"/>
        <w:tabs>
          <w:tab w:val="right" w:pos="9044"/>
        </w:tabs>
        <w:ind w:right="538"/>
        <w:rPr>
          <w:sz w:val="21"/>
          <w:szCs w:val="21"/>
        </w:rPr>
      </w:pPr>
      <w:r w:rsidRPr="00307421">
        <w:rPr>
          <w:sz w:val="21"/>
          <w:szCs w:val="21"/>
        </w:rPr>
        <w:t>Headteachers Responsible and Accountable for more than one School on a Permanent Basis</w:t>
      </w:r>
      <w:r w:rsidRPr="00307421">
        <w:rPr>
          <w:sz w:val="21"/>
          <w:szCs w:val="21"/>
        </w:rPr>
        <w:tab/>
      </w:r>
      <w:r w:rsidR="00741B45" w:rsidRPr="00307421">
        <w:rPr>
          <w:sz w:val="21"/>
          <w:szCs w:val="21"/>
        </w:rPr>
        <w:t>1</w:t>
      </w:r>
      <w:r w:rsidR="005F6A48">
        <w:rPr>
          <w:sz w:val="21"/>
          <w:szCs w:val="21"/>
        </w:rPr>
        <w:t>0</w:t>
      </w:r>
    </w:p>
    <w:p w14:paraId="2B429569" w14:textId="1FE07724" w:rsidR="00094D9E" w:rsidRPr="00307421" w:rsidRDefault="00094D9E" w:rsidP="00C81E37">
      <w:pPr>
        <w:pStyle w:val="EPMHeading2"/>
        <w:tabs>
          <w:tab w:val="right" w:pos="9044"/>
        </w:tabs>
        <w:rPr>
          <w:sz w:val="21"/>
          <w:szCs w:val="21"/>
        </w:rPr>
      </w:pPr>
      <w:r w:rsidRPr="00307421">
        <w:rPr>
          <w:sz w:val="21"/>
          <w:szCs w:val="21"/>
        </w:rPr>
        <w:t>Limits on Payments</w:t>
      </w:r>
      <w:r w:rsidRPr="00307421">
        <w:rPr>
          <w:sz w:val="21"/>
          <w:szCs w:val="21"/>
        </w:rPr>
        <w:tab/>
      </w:r>
      <w:r w:rsidR="00741B45" w:rsidRPr="00307421">
        <w:rPr>
          <w:sz w:val="21"/>
          <w:szCs w:val="21"/>
        </w:rPr>
        <w:t>1</w:t>
      </w:r>
      <w:r w:rsidR="005F6A48">
        <w:rPr>
          <w:sz w:val="21"/>
          <w:szCs w:val="21"/>
        </w:rPr>
        <w:t>1</w:t>
      </w:r>
    </w:p>
    <w:p w14:paraId="346AAA19" w14:textId="5D07EA09" w:rsidR="00094D9E" w:rsidRPr="00307421" w:rsidRDefault="735F54FD" w:rsidP="00C81E37">
      <w:pPr>
        <w:pStyle w:val="EPMHeading2"/>
        <w:tabs>
          <w:tab w:val="right" w:pos="9072"/>
        </w:tabs>
        <w:ind w:right="680"/>
        <w:rPr>
          <w:sz w:val="21"/>
          <w:szCs w:val="21"/>
        </w:rPr>
      </w:pPr>
      <w:r w:rsidRPr="0759C439">
        <w:rPr>
          <w:sz w:val="21"/>
          <w:szCs w:val="21"/>
        </w:rPr>
        <w:t>Headteachers Temporarily Accountable for more than one School</w:t>
      </w:r>
      <w:r w:rsidR="6355EDD2" w:rsidRPr="0759C439">
        <w:rPr>
          <w:sz w:val="21"/>
          <w:szCs w:val="21"/>
        </w:rPr>
        <w:t xml:space="preserve">       </w:t>
      </w:r>
      <w:r w:rsidR="00094D9E">
        <w:tab/>
      </w:r>
      <w:r w:rsidR="6355EDD2" w:rsidRPr="0759C439">
        <w:rPr>
          <w:sz w:val="21"/>
          <w:szCs w:val="21"/>
        </w:rPr>
        <w:t>1</w:t>
      </w:r>
      <w:r w:rsidR="54DFF387" w:rsidRPr="0759C439">
        <w:rPr>
          <w:sz w:val="21"/>
          <w:szCs w:val="21"/>
        </w:rPr>
        <w:t>1</w:t>
      </w:r>
    </w:p>
    <w:p w14:paraId="26135712" w14:textId="3BBFA76B" w:rsidR="00DF3C25" w:rsidRPr="005F6A48" w:rsidRDefault="00094D9E" w:rsidP="00C81E37">
      <w:pPr>
        <w:pStyle w:val="EPMHeading2"/>
        <w:tabs>
          <w:tab w:val="right" w:pos="9072"/>
        </w:tabs>
        <w:ind w:right="-170"/>
        <w:rPr>
          <w:sz w:val="21"/>
          <w:szCs w:val="21"/>
        </w:rPr>
        <w:sectPr w:rsidR="00DF3C25" w:rsidRPr="005F6A48" w:rsidSect="00741B45">
          <w:headerReference w:type="default" r:id="rId14"/>
          <w:footerReference w:type="default" r:id="rId15"/>
          <w:pgSz w:w="11906" w:h="16838"/>
          <w:pgMar w:top="993" w:right="1558" w:bottom="851" w:left="1021" w:header="709" w:footer="544" w:gutter="0"/>
          <w:cols w:space="708"/>
          <w:docGrid w:linePitch="360"/>
        </w:sectPr>
      </w:pPr>
      <w:r w:rsidRPr="00307421">
        <w:rPr>
          <w:sz w:val="21"/>
          <w:szCs w:val="21"/>
        </w:rPr>
        <w:t>Extended Services</w:t>
      </w:r>
      <w:r w:rsidRPr="00307421">
        <w:rPr>
          <w:sz w:val="21"/>
          <w:szCs w:val="21"/>
        </w:rPr>
        <w:tab/>
        <w:t>1</w:t>
      </w:r>
      <w:r w:rsidR="005F6A48">
        <w:rPr>
          <w:sz w:val="21"/>
          <w:szCs w:val="21"/>
        </w:rPr>
        <w:t>2</w:t>
      </w:r>
    </w:p>
    <w:p w14:paraId="51A06D48" w14:textId="77777777" w:rsidR="00317F9A" w:rsidRDefault="00317F9A" w:rsidP="00317F9A">
      <w:pPr>
        <w:pStyle w:val="EPMHeading2"/>
      </w:pPr>
      <w:r w:rsidRPr="00317F9A">
        <w:lastRenderedPageBreak/>
        <w:t>Headteacher Annual Salary Assessment</w:t>
      </w:r>
    </w:p>
    <w:p w14:paraId="36425F41" w14:textId="7F1CA639" w:rsidR="00317F9A" w:rsidRPr="00DB0738" w:rsidRDefault="00317F9A" w:rsidP="008D0CAA">
      <w:pPr>
        <w:pStyle w:val="EPMTextstyle"/>
        <w:tabs>
          <w:tab w:val="clear" w:pos="6804"/>
        </w:tabs>
        <w:ind w:right="-312"/>
        <w:jc w:val="both"/>
        <w:rPr>
          <w:rFonts w:ascii="Avenir Next LT Pro Light" w:hAnsi="Avenir Next LT Pro Light" w:cstheme="minorBidi"/>
        </w:rPr>
      </w:pPr>
      <w:r w:rsidRPr="00DB0738">
        <w:rPr>
          <w:rFonts w:ascii="Avenir Next LT Pro Light" w:hAnsi="Avenir Next LT Pro Light" w:cstheme="minorBidi"/>
        </w:rPr>
        <w:t>This document provides information for Trustees and the Governing Body regarding Headteacher pay for 202</w:t>
      </w:r>
      <w:r w:rsidR="009B79A3">
        <w:rPr>
          <w:rFonts w:ascii="Avenir Next LT Pro Light" w:hAnsi="Avenir Next LT Pro Light" w:cstheme="minorBidi"/>
        </w:rPr>
        <w:t>4</w:t>
      </w:r>
      <w:r w:rsidRPr="00DB0738">
        <w:rPr>
          <w:rFonts w:ascii="Avenir Next LT Pro Light" w:hAnsi="Avenir Next LT Pro Light" w:cstheme="minorBidi"/>
        </w:rPr>
        <w:t>/2</w:t>
      </w:r>
      <w:r w:rsidR="009B79A3">
        <w:rPr>
          <w:rFonts w:ascii="Avenir Next LT Pro Light" w:hAnsi="Avenir Next LT Pro Light" w:cstheme="minorBidi"/>
        </w:rPr>
        <w:t>5</w:t>
      </w:r>
      <w:r w:rsidRPr="00DB0738">
        <w:rPr>
          <w:rFonts w:ascii="Avenir Next LT Pro Light" w:hAnsi="Avenir Next LT Pro Light" w:cstheme="minorBidi"/>
        </w:rPr>
        <w:t xml:space="preserve"> and the associated salary assessment form.</w:t>
      </w:r>
    </w:p>
    <w:p w14:paraId="2FF4B099" w14:textId="77777777" w:rsidR="00DC1525" w:rsidRPr="004F6BD3" w:rsidRDefault="00DC1525" w:rsidP="00DC1525">
      <w:pPr>
        <w:pStyle w:val="EPMTextstyle"/>
        <w:jc w:val="both"/>
        <w:rPr>
          <w:rFonts w:ascii="Avenir Next LT Pro Light" w:hAnsi="Avenir Next LT Pro Light" w:cstheme="minorBidi"/>
        </w:rPr>
      </w:pPr>
      <w:r w:rsidRPr="004F6BD3">
        <w:rPr>
          <w:rFonts w:ascii="Avenir Next LT Pro Light" w:hAnsi="Avenir Next LT Pro Light" w:cstheme="minorBidi"/>
        </w:rPr>
        <w:t xml:space="preserve">Set out in the following pages is advice and guidance taken from the School Teachers’ Pay and </w:t>
      </w:r>
      <w:r w:rsidRPr="00C6303D">
        <w:rPr>
          <w:rFonts w:ascii="Avenir Next LT Pro Light" w:hAnsi="Avenir Next LT Pro Light" w:cstheme="minorBidi"/>
        </w:rPr>
        <w:t>Conditions Document 202</w:t>
      </w:r>
      <w:r>
        <w:rPr>
          <w:rFonts w:ascii="Avenir Next LT Pro Light" w:hAnsi="Avenir Next LT Pro Light" w:cstheme="minorBidi"/>
        </w:rPr>
        <w:t>5</w:t>
      </w:r>
      <w:r w:rsidRPr="00C6303D">
        <w:rPr>
          <w:rFonts w:ascii="Avenir Next LT Pro Light" w:hAnsi="Avenir Next LT Pro Light" w:cstheme="minorBidi"/>
        </w:rPr>
        <w:t>, which will remain relevant for 202</w:t>
      </w:r>
      <w:r>
        <w:rPr>
          <w:rFonts w:ascii="Avenir Next LT Pro Light" w:hAnsi="Avenir Next LT Pro Light" w:cstheme="minorBidi"/>
        </w:rPr>
        <w:t>5</w:t>
      </w:r>
      <w:r w:rsidRPr="00C6303D">
        <w:rPr>
          <w:rFonts w:ascii="Avenir Next LT Pro Light" w:hAnsi="Avenir Next LT Pro Light" w:cstheme="minorBidi"/>
        </w:rPr>
        <w:t>/2</w:t>
      </w:r>
      <w:r>
        <w:rPr>
          <w:rFonts w:ascii="Avenir Next LT Pro Light" w:hAnsi="Avenir Next LT Pro Light" w:cstheme="minorBidi"/>
        </w:rPr>
        <w:t>6</w:t>
      </w:r>
      <w:r w:rsidRPr="00C6303D">
        <w:rPr>
          <w:rFonts w:ascii="Avenir Next LT Pro Light" w:hAnsi="Avenir Next LT Pro Light" w:cstheme="minorBidi"/>
        </w:rPr>
        <w:t>.</w:t>
      </w:r>
    </w:p>
    <w:p w14:paraId="5927B7DF" w14:textId="77777777" w:rsidR="00DC1525" w:rsidRPr="004F6BD3" w:rsidRDefault="00DC1525" w:rsidP="00DC1525">
      <w:pPr>
        <w:pStyle w:val="EPMTextstyle"/>
        <w:jc w:val="both"/>
        <w:rPr>
          <w:rFonts w:ascii="Avenir Next LT Pro Light" w:hAnsi="Avenir Next LT Pro Light" w:cstheme="minorBidi"/>
        </w:rPr>
      </w:pPr>
      <w:r w:rsidRPr="004F6BD3">
        <w:rPr>
          <w:rFonts w:ascii="Avenir Next LT Pro Light" w:hAnsi="Avenir Next LT Pro Light" w:cstheme="minorBidi"/>
        </w:rPr>
        <w:t>The pay award for teachers for the year 202</w:t>
      </w:r>
      <w:r>
        <w:rPr>
          <w:rFonts w:ascii="Avenir Next LT Pro Light" w:hAnsi="Avenir Next LT Pro Light" w:cstheme="minorBidi"/>
        </w:rPr>
        <w:t>5</w:t>
      </w:r>
      <w:r w:rsidRPr="004F6BD3">
        <w:rPr>
          <w:rFonts w:ascii="Avenir Next LT Pro Light" w:hAnsi="Avenir Next LT Pro Light" w:cstheme="minorBidi"/>
        </w:rPr>
        <w:t>/2</w:t>
      </w:r>
      <w:r>
        <w:rPr>
          <w:rFonts w:ascii="Avenir Next LT Pro Light" w:hAnsi="Avenir Next LT Pro Light" w:cstheme="minorBidi"/>
        </w:rPr>
        <w:t>6</w:t>
      </w:r>
      <w:r w:rsidRPr="004F6BD3">
        <w:rPr>
          <w:rFonts w:ascii="Avenir Next LT Pro Light" w:hAnsi="Avenir Next LT Pro Light" w:cstheme="minorBidi"/>
        </w:rPr>
        <w:t xml:space="preserve"> is </w:t>
      </w:r>
      <w:r>
        <w:rPr>
          <w:rFonts w:ascii="Avenir Next LT Pro Light" w:hAnsi="Avenir Next LT Pro Light" w:cstheme="minorBidi"/>
        </w:rPr>
        <w:t xml:space="preserve">to </w:t>
      </w:r>
      <w:r w:rsidRPr="004F6BD3">
        <w:rPr>
          <w:rFonts w:ascii="Avenir Next LT Pro Light" w:hAnsi="Avenir Next LT Pro Light" w:cstheme="minorBidi"/>
        </w:rPr>
        <w:t xml:space="preserve">increase all teachers’ pay ranges, advisory points, and allowances </w:t>
      </w:r>
      <w:r>
        <w:rPr>
          <w:rFonts w:ascii="Avenir Next LT Pro Light" w:hAnsi="Avenir Next LT Pro Light" w:cstheme="minorBidi"/>
        </w:rPr>
        <w:t>by 4</w:t>
      </w:r>
      <w:r w:rsidRPr="004F6BD3">
        <w:rPr>
          <w:rFonts w:ascii="Avenir Next LT Pro Light" w:hAnsi="Avenir Next LT Pro Light" w:cstheme="minorBidi"/>
        </w:rPr>
        <w:t>%</w:t>
      </w:r>
      <w:r>
        <w:rPr>
          <w:rFonts w:ascii="Avenir Next LT Pro Light" w:hAnsi="Avenir Next LT Pro Light" w:cstheme="minorBidi"/>
        </w:rPr>
        <w:t xml:space="preserve"> </w:t>
      </w:r>
      <w:r w:rsidRPr="004F6BD3">
        <w:rPr>
          <w:rFonts w:ascii="Avenir Next LT Pro Light" w:hAnsi="Avenir Next LT Pro Light" w:cstheme="minorBidi"/>
        </w:rPr>
        <w:t>with effect from 1 September 202</w:t>
      </w:r>
      <w:r>
        <w:rPr>
          <w:rFonts w:ascii="Avenir Next LT Pro Light" w:hAnsi="Avenir Next LT Pro Light" w:cstheme="minorBidi"/>
        </w:rPr>
        <w:t>5</w:t>
      </w:r>
      <w:r w:rsidRPr="004F6BD3">
        <w:rPr>
          <w:rFonts w:ascii="Avenir Next LT Pro Light" w:hAnsi="Avenir Next LT Pro Light" w:cstheme="minorBidi"/>
        </w:rPr>
        <w:t>.</w:t>
      </w:r>
      <w:r>
        <w:rPr>
          <w:rFonts w:ascii="Avenir Next LT Pro Light" w:hAnsi="Avenir Next LT Pro Light" w:cstheme="minorBidi"/>
        </w:rPr>
        <w:t xml:space="preserve"> </w:t>
      </w:r>
    </w:p>
    <w:p w14:paraId="48A31692" w14:textId="63C5BB21" w:rsidR="00317F9A" w:rsidRPr="00E470FC" w:rsidRDefault="00DC1525" w:rsidP="00DC1525">
      <w:pPr>
        <w:pStyle w:val="EPMTextstyle"/>
        <w:jc w:val="both"/>
      </w:pPr>
      <w:r w:rsidRPr="004F6BD3">
        <w:rPr>
          <w:rFonts w:ascii="Avenir Next LT Pro Light" w:hAnsi="Avenir Next LT Pro Light" w:cstheme="minorBidi"/>
        </w:rPr>
        <w:t xml:space="preserve">Further advice and guidance </w:t>
      </w:r>
      <w:proofErr w:type="gramStart"/>
      <w:r w:rsidRPr="004F6BD3">
        <w:rPr>
          <w:rFonts w:ascii="Avenir Next LT Pro Light" w:hAnsi="Avenir Next LT Pro Light" w:cstheme="minorBidi"/>
        </w:rPr>
        <w:t>is</w:t>
      </w:r>
      <w:proofErr w:type="gramEnd"/>
      <w:r w:rsidRPr="004F6BD3">
        <w:rPr>
          <w:rFonts w:ascii="Avenir Next LT Pro Light" w:hAnsi="Avenir Next LT Pro Light" w:cstheme="minorBidi"/>
        </w:rPr>
        <w:t xml:space="preserve"> also available in the Model Whole School Pay Policy 202</w:t>
      </w:r>
      <w:r>
        <w:rPr>
          <w:rFonts w:ascii="Avenir Next LT Pro Light" w:hAnsi="Avenir Next LT Pro Light" w:cstheme="minorBidi"/>
        </w:rPr>
        <w:t>5</w:t>
      </w:r>
      <w:r w:rsidRPr="004F6BD3">
        <w:rPr>
          <w:rFonts w:ascii="Avenir Next LT Pro Light" w:hAnsi="Avenir Next LT Pro Light" w:cstheme="minorBidi"/>
        </w:rPr>
        <w:t>/2</w:t>
      </w:r>
      <w:r>
        <w:rPr>
          <w:rFonts w:ascii="Avenir Next LT Pro Light" w:hAnsi="Avenir Next LT Pro Light" w:cstheme="minorBidi"/>
        </w:rPr>
        <w:t>6</w:t>
      </w:r>
      <w:r w:rsidRPr="004F6BD3">
        <w:rPr>
          <w:rFonts w:ascii="Avenir Next LT Pro Light" w:hAnsi="Avenir Next LT Pro Light" w:cstheme="minorBidi"/>
        </w:rPr>
        <w:t xml:space="preserve"> </w:t>
      </w:r>
      <w:r w:rsidR="00317F9A" w:rsidRPr="00DB0738">
        <w:rPr>
          <w:rFonts w:ascii="Avenir Next LT Pro Light" w:hAnsi="Avenir Next LT Pro Light" w:cstheme="minorBidi"/>
        </w:rPr>
        <w:t>which can be found on the EPM website (</w:t>
      </w:r>
      <w:hyperlink r:id="rId16" w:history="1">
        <w:r w:rsidR="00317F9A" w:rsidRPr="00741B45">
          <w:rPr>
            <w:rStyle w:val="EPMHyperlinksChar"/>
          </w:rPr>
          <w:t>www.epm.co.uk</w:t>
        </w:r>
      </w:hyperlink>
      <w:r w:rsidR="00317F9A" w:rsidRPr="00DB0738">
        <w:rPr>
          <w:rFonts w:ascii="Avenir Next LT Pro Light" w:hAnsi="Avenir Next LT Pro Light" w:cstheme="minorBidi"/>
        </w:rPr>
        <w:t>)</w:t>
      </w:r>
      <w:r w:rsidR="00317F9A" w:rsidRPr="00DB0738">
        <w:rPr>
          <w:rFonts w:ascii="Avenir Next LT Pro Light" w:hAnsi="Avenir Next LT Pro Light" w:cstheme="minorBidi"/>
          <w:szCs w:val="21"/>
        </w:rPr>
        <w:t xml:space="preserve">. </w:t>
      </w:r>
    </w:p>
    <w:p w14:paraId="33A5C10C" w14:textId="77777777" w:rsidR="00317F9A" w:rsidRPr="00DB0738" w:rsidRDefault="00317F9A" w:rsidP="00DB0738">
      <w:pPr>
        <w:pStyle w:val="EPMTextstyle"/>
        <w:jc w:val="both"/>
        <w:rPr>
          <w:rFonts w:ascii="Avenir Next LT Pro Light" w:hAnsi="Avenir Next LT Pro Light" w:cstheme="minorBidi"/>
          <w:szCs w:val="21"/>
        </w:rPr>
      </w:pPr>
      <w:r w:rsidRPr="00DB0738">
        <w:rPr>
          <w:rFonts w:ascii="Avenir Next LT Pro Light" w:hAnsi="Avenir Next LT Pro Light" w:cstheme="minorBidi"/>
          <w:szCs w:val="21"/>
        </w:rPr>
        <w:t>Trustees are entitled to have access to the</w:t>
      </w:r>
      <w:r>
        <w:t xml:space="preserve"> </w:t>
      </w:r>
      <w:hyperlink r:id="rId17" w:history="1">
        <w:r w:rsidRPr="00741B45">
          <w:rPr>
            <w:rStyle w:val="EPMHyperlinksChar"/>
          </w:rPr>
          <w:t>EPM website</w:t>
        </w:r>
      </w:hyperlink>
      <w:r w:rsidRPr="00E470FC">
        <w:t xml:space="preserve"> </w:t>
      </w:r>
      <w:r w:rsidRPr="00DB0738">
        <w:rPr>
          <w:rFonts w:ascii="Avenir Next LT Pro Light" w:hAnsi="Avenir Next LT Pro Light" w:cstheme="minorBidi"/>
          <w:szCs w:val="21"/>
        </w:rPr>
        <w:t xml:space="preserve">using the </w:t>
      </w:r>
      <w:proofErr w:type="gramStart"/>
      <w:r w:rsidRPr="00DB0738">
        <w:rPr>
          <w:rFonts w:ascii="Avenir Next LT Pro Light" w:hAnsi="Avenir Next LT Pro Light" w:cstheme="minorBidi"/>
          <w:szCs w:val="21"/>
        </w:rPr>
        <w:t>School’s</w:t>
      </w:r>
      <w:proofErr w:type="gramEnd"/>
      <w:r w:rsidRPr="00DB0738">
        <w:rPr>
          <w:rFonts w:ascii="Avenir Next LT Pro Light" w:hAnsi="Avenir Next LT Pro Light" w:cstheme="minorBidi"/>
          <w:szCs w:val="21"/>
        </w:rPr>
        <w:t xml:space="preserve"> website username and password, which can be obtained from the Headteacher.</w:t>
      </w:r>
    </w:p>
    <w:p w14:paraId="78EBB34F" w14:textId="5E14F896" w:rsidR="00317F9A" w:rsidRPr="00DB0738" w:rsidRDefault="00317F9A" w:rsidP="00DB0738">
      <w:pPr>
        <w:pStyle w:val="EPMTextstyle"/>
        <w:jc w:val="both"/>
        <w:rPr>
          <w:rFonts w:ascii="Avenir Next LT Pro Light" w:hAnsi="Avenir Next LT Pro Light" w:cstheme="minorBidi"/>
          <w:szCs w:val="21"/>
        </w:rPr>
      </w:pPr>
      <w:r w:rsidRPr="00DB0738">
        <w:rPr>
          <w:rFonts w:ascii="Avenir Next LT Pro Light" w:hAnsi="Avenir Next LT Pro Light" w:cstheme="minorBidi"/>
          <w:szCs w:val="21"/>
        </w:rPr>
        <w:t xml:space="preserve">If you require further information and/or advice or wish to discuss a specific issue on this matter, please contact the relevant Lead </w:t>
      </w:r>
      <w:r w:rsidR="00D70AFE">
        <w:rPr>
          <w:rFonts w:ascii="Avenir Next LT Pro Light" w:hAnsi="Avenir Next LT Pro Light" w:cstheme="minorBidi"/>
          <w:szCs w:val="21"/>
        </w:rPr>
        <w:t>People</w:t>
      </w:r>
      <w:r w:rsidRPr="00DB0738">
        <w:rPr>
          <w:rFonts w:ascii="Avenir Next LT Pro Light" w:hAnsi="Avenir Next LT Pro Light" w:cstheme="minorBidi"/>
          <w:szCs w:val="21"/>
        </w:rPr>
        <w:t xml:space="preserve"> Part</w:t>
      </w:r>
      <w:r w:rsidR="00D70AFE">
        <w:rPr>
          <w:rFonts w:ascii="Avenir Next LT Pro Light" w:hAnsi="Avenir Next LT Pro Light" w:cstheme="minorBidi"/>
          <w:szCs w:val="21"/>
        </w:rPr>
        <w:t>n</w:t>
      </w:r>
      <w:r w:rsidRPr="00DB0738">
        <w:rPr>
          <w:rFonts w:ascii="Avenir Next LT Pro Light" w:hAnsi="Avenir Next LT Pro Light" w:cstheme="minorBidi"/>
          <w:szCs w:val="21"/>
        </w:rPr>
        <w:t xml:space="preserve">er, </w:t>
      </w:r>
      <w:r w:rsidR="00D70AFE">
        <w:rPr>
          <w:rFonts w:ascii="Avenir Next LT Pro Light" w:hAnsi="Avenir Next LT Pro Light" w:cstheme="minorBidi"/>
          <w:szCs w:val="21"/>
        </w:rPr>
        <w:t xml:space="preserve">People </w:t>
      </w:r>
      <w:r w:rsidRPr="00DB0738">
        <w:rPr>
          <w:rFonts w:ascii="Avenir Next LT Pro Light" w:hAnsi="Avenir Next LT Pro Light" w:cstheme="minorBidi"/>
          <w:szCs w:val="21"/>
        </w:rPr>
        <w:t xml:space="preserve">Partner or </w:t>
      </w:r>
      <w:r w:rsidR="00D70AFE">
        <w:rPr>
          <w:rFonts w:ascii="Avenir Next LT Pro Light" w:hAnsi="Avenir Next LT Pro Light" w:cstheme="minorBidi"/>
          <w:szCs w:val="21"/>
        </w:rPr>
        <w:t xml:space="preserve">People </w:t>
      </w:r>
      <w:r w:rsidRPr="00DB0738">
        <w:rPr>
          <w:rFonts w:ascii="Avenir Next LT Pro Light" w:hAnsi="Avenir Next LT Pro Light" w:cstheme="minorBidi"/>
          <w:szCs w:val="21"/>
        </w:rPr>
        <w:t xml:space="preserve">Adviser assigned to support your School. </w:t>
      </w:r>
    </w:p>
    <w:p w14:paraId="054AE89F" w14:textId="6F2D6685" w:rsidR="00317F9A" w:rsidRPr="00DB0738" w:rsidRDefault="00DF3C25" w:rsidP="77A1DB2B">
      <w:pPr>
        <w:pStyle w:val="EPMTextstyle"/>
        <w:jc w:val="both"/>
        <w:rPr>
          <w:rFonts w:ascii="Avenir Next LT Pro Light" w:hAnsi="Avenir Next LT Pro Light" w:cstheme="minorBidi"/>
        </w:rPr>
      </w:pPr>
      <w:r w:rsidRPr="77A1DB2B">
        <w:rPr>
          <w:rFonts w:ascii="Avenir Next LT Pro Light" w:hAnsi="Avenir Next LT Pro Light" w:cstheme="minorBidi"/>
        </w:rPr>
        <w:t>Alternatively, y</w:t>
      </w:r>
      <w:r w:rsidR="00317F9A" w:rsidRPr="77A1DB2B">
        <w:rPr>
          <w:rFonts w:ascii="Avenir Next LT Pro Light" w:hAnsi="Avenir Next LT Pro Light" w:cstheme="minorBidi"/>
        </w:rPr>
        <w:t xml:space="preserve">ou </w:t>
      </w:r>
      <w:r w:rsidRPr="77A1DB2B">
        <w:rPr>
          <w:rFonts w:ascii="Avenir Next LT Pro Light" w:hAnsi="Avenir Next LT Pro Light" w:cstheme="minorBidi"/>
        </w:rPr>
        <w:t xml:space="preserve">can contact one of our </w:t>
      </w:r>
      <w:r w:rsidR="00317F9A" w:rsidRPr="77A1DB2B">
        <w:rPr>
          <w:rFonts w:ascii="Avenir Next LT Pro Light" w:hAnsi="Avenir Next LT Pro Light" w:cstheme="minorBidi"/>
        </w:rPr>
        <w:t xml:space="preserve">Senior </w:t>
      </w:r>
      <w:r w:rsidR="00AC7C0B" w:rsidRPr="77A1DB2B">
        <w:rPr>
          <w:rFonts w:ascii="Avenir Next LT Pro Light" w:hAnsi="Avenir Next LT Pro Light" w:cstheme="minorBidi"/>
        </w:rPr>
        <w:t>People</w:t>
      </w:r>
      <w:r w:rsidR="00317F9A" w:rsidRPr="77A1DB2B">
        <w:rPr>
          <w:rFonts w:ascii="Avenir Next LT Pro Light" w:hAnsi="Avenir Next LT Pro Light" w:cstheme="minorBidi"/>
        </w:rPr>
        <w:t xml:space="preserve"> Partners whose details are listed below:</w:t>
      </w:r>
    </w:p>
    <w:p w14:paraId="4B81F57E" w14:textId="2F9204C0" w:rsidR="0008762F" w:rsidRPr="001D2E07" w:rsidRDefault="0008762F" w:rsidP="00E85133">
      <w:pPr>
        <w:pStyle w:val="EPMNumberedHeading"/>
      </w:pPr>
      <w:r w:rsidRPr="001D2E07">
        <w:t xml:space="preserve">Senior HR Partner </w:t>
      </w:r>
      <w:r w:rsidRPr="00E85133">
        <w:t>Details</w:t>
      </w:r>
    </w:p>
    <w:tbl>
      <w:tblPr>
        <w:tblStyle w:val="EPMTableStyle"/>
        <w:tblW w:w="0" w:type="auto"/>
        <w:tblInd w:w="709" w:type="dxa"/>
        <w:tblLook w:val="04A0" w:firstRow="1" w:lastRow="0" w:firstColumn="1" w:lastColumn="0" w:noHBand="0" w:noVBand="1"/>
      </w:tblPr>
      <w:tblGrid>
        <w:gridCol w:w="3969"/>
        <w:gridCol w:w="4111"/>
      </w:tblGrid>
      <w:tr w:rsidR="002A6A55" w:rsidRPr="009F6988" w14:paraId="2E455DC1" w14:textId="77777777" w:rsidTr="009D22B7">
        <w:trPr>
          <w:cnfStyle w:val="100000000000" w:firstRow="1" w:lastRow="0" w:firstColumn="0" w:lastColumn="0" w:oddVBand="0" w:evenVBand="0" w:oddHBand="0" w:evenHBand="0" w:firstRowFirstColumn="0" w:firstRowLastColumn="0" w:lastRowFirstColumn="0" w:lastRowLastColumn="0"/>
        </w:trPr>
        <w:tc>
          <w:tcPr>
            <w:tcW w:w="3969" w:type="dxa"/>
            <w:tcBorders>
              <w:right w:val="single" w:sz="4" w:space="0" w:color="auto"/>
            </w:tcBorders>
            <w:shd w:val="clear" w:color="auto" w:fill="auto"/>
          </w:tcPr>
          <w:p w14:paraId="7E96E075" w14:textId="77777777" w:rsidR="002A6A55" w:rsidRPr="00DF3C25" w:rsidRDefault="002A6A55" w:rsidP="009D22B7">
            <w:pPr>
              <w:spacing w:after="120"/>
              <w:rPr>
                <w:rFonts w:ascii="Avenir Next Demi Bold" w:hAnsi="Avenir Next Demi Bold"/>
                <w:b w:val="0"/>
                <w:bCs/>
                <w:color w:val="auto"/>
                <w:sz w:val="21"/>
                <w:szCs w:val="21"/>
              </w:rPr>
            </w:pPr>
            <w:r w:rsidRPr="00DF3C25">
              <w:rPr>
                <w:rFonts w:ascii="Avenir Next Demi Bold" w:hAnsi="Avenir Next Demi Bold"/>
                <w:b w:val="0"/>
                <w:bCs/>
                <w:color w:val="auto"/>
                <w:sz w:val="21"/>
                <w:szCs w:val="21"/>
              </w:rPr>
              <w:t>Alison Wayman</w:t>
            </w:r>
          </w:p>
          <w:p w14:paraId="7D2DF152" w14:textId="77777777" w:rsidR="002A6A55" w:rsidRPr="00A265B5" w:rsidRDefault="002A6A55" w:rsidP="009D22B7">
            <w:pPr>
              <w:spacing w:after="120"/>
              <w:rPr>
                <w:rFonts w:ascii="Avenir Next LT Pro Light" w:hAnsi="Avenir Next LT Pro Light" w:cs="Arial"/>
                <w:b w:val="0"/>
                <w:bCs/>
                <w:color w:val="000000"/>
                <w:sz w:val="21"/>
                <w:szCs w:val="21"/>
              </w:rPr>
            </w:pPr>
            <w:r w:rsidRPr="00DF3C25">
              <w:rPr>
                <w:rFonts w:ascii="Avenir Next LT Pro Light" w:hAnsi="Avenir Next LT Pro Light"/>
                <w:b w:val="0"/>
                <w:bCs/>
                <w:color w:val="A31457"/>
                <w:sz w:val="21"/>
                <w:szCs w:val="21"/>
              </w:rPr>
              <w:t xml:space="preserve">T: </w:t>
            </w:r>
            <w:r w:rsidRPr="00A265B5">
              <w:rPr>
                <w:rFonts w:ascii="Avenir Next LT Pro Light" w:hAnsi="Avenir Next LT Pro Light"/>
                <w:b w:val="0"/>
                <w:bCs/>
                <w:color w:val="000000"/>
                <w:sz w:val="21"/>
                <w:szCs w:val="21"/>
              </w:rPr>
              <w:t>07545 057 078</w:t>
            </w:r>
          </w:p>
          <w:p w14:paraId="668FCAB3" w14:textId="77777777" w:rsidR="002A6A55" w:rsidRPr="00DF3C25" w:rsidRDefault="002A6A55" w:rsidP="009D22B7">
            <w:pPr>
              <w:rPr>
                <w:rFonts w:ascii="Avenir Next LT Pro Light" w:hAnsi="Avenir Next LT Pro Light" w:cs="Arial"/>
                <w:b w:val="0"/>
                <w:bCs/>
                <w:color w:val="auto"/>
                <w:sz w:val="21"/>
                <w:szCs w:val="21"/>
              </w:rPr>
            </w:pPr>
            <w:r w:rsidRPr="00DF3C25">
              <w:rPr>
                <w:rFonts w:ascii="Avenir Next LT Pro Light" w:hAnsi="Avenir Next LT Pro Light" w:cs="Arial"/>
                <w:b w:val="0"/>
                <w:bCs/>
                <w:color w:val="A31457"/>
                <w:sz w:val="21"/>
                <w:szCs w:val="21"/>
              </w:rPr>
              <w:t>E:</w:t>
            </w:r>
            <w:r w:rsidRPr="00DF3C25">
              <w:rPr>
                <w:rFonts w:ascii="Avenir Next LT Pro Light" w:hAnsi="Avenir Next LT Pro Light"/>
                <w:b w:val="0"/>
                <w:bCs/>
                <w:color w:val="A31457"/>
                <w:sz w:val="21"/>
                <w:szCs w:val="21"/>
              </w:rPr>
              <w:t xml:space="preserve"> </w:t>
            </w:r>
            <w:r w:rsidRPr="00A265B5">
              <w:rPr>
                <w:rFonts w:ascii="Avenir Next LT Pro Light" w:hAnsi="Avenir Next LT Pro Light" w:cs="Arial"/>
                <w:b w:val="0"/>
                <w:bCs/>
                <w:color w:val="000000"/>
                <w:sz w:val="21"/>
                <w:szCs w:val="21"/>
              </w:rPr>
              <w:t>alison.wayman@epm.co.uk</w:t>
            </w:r>
          </w:p>
        </w:tc>
        <w:tc>
          <w:tcPr>
            <w:tcW w:w="4111" w:type="dxa"/>
            <w:tcBorders>
              <w:left w:val="single" w:sz="4" w:space="0" w:color="auto"/>
            </w:tcBorders>
            <w:shd w:val="clear" w:color="auto" w:fill="auto"/>
          </w:tcPr>
          <w:p w14:paraId="3560353B" w14:textId="77777777" w:rsidR="002A6A55" w:rsidRPr="00A83A4C" w:rsidRDefault="002A6A55" w:rsidP="009D22B7">
            <w:pPr>
              <w:spacing w:after="120"/>
              <w:rPr>
                <w:rFonts w:ascii="Avenir Next Demi Bold" w:hAnsi="Avenir Next Demi Bold"/>
                <w:b w:val="0"/>
                <w:bCs/>
                <w:color w:val="auto"/>
                <w:sz w:val="21"/>
                <w:szCs w:val="21"/>
              </w:rPr>
            </w:pPr>
            <w:r w:rsidRPr="00A83A4C">
              <w:rPr>
                <w:rFonts w:ascii="Avenir Next Demi Bold" w:hAnsi="Avenir Next Demi Bold"/>
                <w:b w:val="0"/>
                <w:bCs/>
                <w:color w:val="auto"/>
                <w:sz w:val="21"/>
                <w:szCs w:val="21"/>
              </w:rPr>
              <w:t>Sarah Emms</w:t>
            </w:r>
          </w:p>
          <w:p w14:paraId="46E6EA1B" w14:textId="77777777" w:rsidR="002A6A55" w:rsidRPr="00A83A4C" w:rsidRDefault="002A6A55" w:rsidP="009D22B7">
            <w:pPr>
              <w:spacing w:after="120"/>
              <w:rPr>
                <w:rFonts w:ascii="Avenir Next LT Pro Light" w:hAnsi="Avenir Next LT Pro Light"/>
                <w:b w:val="0"/>
                <w:bCs/>
                <w:color w:val="auto"/>
                <w:sz w:val="21"/>
                <w:szCs w:val="21"/>
              </w:rPr>
            </w:pPr>
            <w:r w:rsidRPr="00DF3C25">
              <w:rPr>
                <w:rFonts w:ascii="Avenir Next LT Pro Light" w:hAnsi="Avenir Next LT Pro Light"/>
                <w:b w:val="0"/>
                <w:bCs/>
                <w:color w:val="A31457"/>
                <w:sz w:val="21"/>
                <w:szCs w:val="21"/>
              </w:rPr>
              <w:t xml:space="preserve">T: </w:t>
            </w:r>
            <w:r w:rsidRPr="00A83A4C">
              <w:rPr>
                <w:rFonts w:ascii="Avenir Next LT Pro Light" w:hAnsi="Avenir Next LT Pro Light"/>
                <w:b w:val="0"/>
                <w:bCs/>
                <w:color w:val="auto"/>
                <w:sz w:val="21"/>
                <w:szCs w:val="21"/>
              </w:rPr>
              <w:t>07803 150 335</w:t>
            </w:r>
          </w:p>
          <w:p w14:paraId="23AFE733" w14:textId="77777777" w:rsidR="002A6A55" w:rsidRPr="00DF3C25" w:rsidRDefault="002A6A55" w:rsidP="009D22B7">
            <w:pPr>
              <w:rPr>
                <w:rFonts w:ascii="Avenir Next LT Pro Light" w:hAnsi="Avenir Next LT Pro Light" w:cs="Arial"/>
                <w:b w:val="0"/>
                <w:bCs/>
                <w:color w:val="auto"/>
                <w:sz w:val="21"/>
                <w:szCs w:val="21"/>
              </w:rPr>
            </w:pPr>
            <w:r w:rsidRPr="00DF3C25">
              <w:rPr>
                <w:rFonts w:ascii="Avenir Next LT Pro Light" w:hAnsi="Avenir Next LT Pro Light"/>
                <w:b w:val="0"/>
                <w:bCs/>
                <w:color w:val="A31457"/>
                <w:sz w:val="21"/>
                <w:szCs w:val="21"/>
              </w:rPr>
              <w:t xml:space="preserve">E: </w:t>
            </w:r>
            <w:r w:rsidRPr="00A83A4C">
              <w:rPr>
                <w:rFonts w:ascii="Avenir Next LT Pro Light" w:hAnsi="Avenir Next LT Pro Light"/>
                <w:b w:val="0"/>
                <w:bCs/>
                <w:color w:val="auto"/>
                <w:sz w:val="21"/>
                <w:szCs w:val="21"/>
              </w:rPr>
              <w:t>sarah.emms@epm.co.uk</w:t>
            </w:r>
          </w:p>
        </w:tc>
      </w:tr>
      <w:tr w:rsidR="002A6A55" w:rsidRPr="009F6988" w14:paraId="5BAB00E8" w14:textId="77777777" w:rsidTr="009D22B7">
        <w:tc>
          <w:tcPr>
            <w:tcW w:w="3969" w:type="dxa"/>
          </w:tcPr>
          <w:p w14:paraId="09D2B934" w14:textId="77777777" w:rsidR="004F5435" w:rsidRPr="00DF3C25" w:rsidRDefault="004F5435" w:rsidP="004F5435">
            <w:pPr>
              <w:spacing w:after="120"/>
              <w:rPr>
                <w:rFonts w:ascii="Avenir Next Demi Bold" w:hAnsi="Avenir Next Demi Bold"/>
                <w:b w:val="0"/>
                <w:bCs/>
                <w:sz w:val="21"/>
                <w:szCs w:val="21"/>
              </w:rPr>
            </w:pPr>
            <w:r>
              <w:rPr>
                <w:rFonts w:ascii="Avenir Next Demi Bold" w:hAnsi="Avenir Next Demi Bold"/>
                <w:b w:val="0"/>
                <w:bCs/>
                <w:sz w:val="21"/>
                <w:szCs w:val="21"/>
              </w:rPr>
              <w:t>Fiona Singlehurst</w:t>
            </w:r>
          </w:p>
          <w:p w14:paraId="7417ABA5" w14:textId="77777777" w:rsidR="004F5435" w:rsidRPr="00A265B5" w:rsidRDefault="004F5435" w:rsidP="004F5435">
            <w:pPr>
              <w:spacing w:after="120"/>
              <w:rPr>
                <w:rFonts w:ascii="Avenir Next LT Pro Light" w:hAnsi="Avenir Next LT Pro Light"/>
                <w:b w:val="0"/>
                <w:bCs/>
                <w:color w:val="000000"/>
                <w:sz w:val="21"/>
                <w:szCs w:val="21"/>
              </w:rPr>
            </w:pPr>
            <w:r w:rsidRPr="00DF3C25">
              <w:rPr>
                <w:rFonts w:ascii="Avenir Next LT Pro Light" w:hAnsi="Avenir Next LT Pro Light"/>
                <w:b w:val="0"/>
                <w:bCs/>
                <w:color w:val="A31457"/>
                <w:sz w:val="21"/>
                <w:szCs w:val="21"/>
              </w:rPr>
              <w:t xml:space="preserve">T: </w:t>
            </w:r>
            <w:r w:rsidRPr="00E342E8">
              <w:rPr>
                <w:rFonts w:ascii="Avenir Next LT Pro Light" w:hAnsi="Avenir Next LT Pro Light"/>
                <w:b w:val="0"/>
                <w:bCs/>
                <w:color w:val="000000"/>
                <w:sz w:val="21"/>
                <w:szCs w:val="21"/>
              </w:rPr>
              <w:t>07545 429 737</w:t>
            </w:r>
          </w:p>
          <w:p w14:paraId="391F2B02" w14:textId="4B20DC24" w:rsidR="002A6A55" w:rsidRPr="00DF3C25" w:rsidRDefault="004F5435" w:rsidP="004F5435">
            <w:pPr>
              <w:rPr>
                <w:rFonts w:ascii="Avenir Next LT Pro Light" w:hAnsi="Avenir Next LT Pro Light" w:cs="Arial"/>
                <w:b w:val="0"/>
                <w:bCs/>
                <w:sz w:val="21"/>
                <w:szCs w:val="21"/>
              </w:rPr>
            </w:pPr>
            <w:r w:rsidRPr="00DF3C25">
              <w:rPr>
                <w:rFonts w:ascii="Avenir Next LT Pro Light" w:hAnsi="Avenir Next LT Pro Light"/>
                <w:b w:val="0"/>
                <w:bCs/>
                <w:color w:val="A31457"/>
                <w:sz w:val="21"/>
                <w:szCs w:val="21"/>
              </w:rPr>
              <w:t xml:space="preserve">E: </w:t>
            </w:r>
            <w:r>
              <w:rPr>
                <w:rFonts w:ascii="Avenir Next LT Pro Light" w:hAnsi="Avenir Next LT Pro Light"/>
                <w:b w:val="0"/>
                <w:bCs/>
                <w:sz w:val="21"/>
                <w:szCs w:val="21"/>
              </w:rPr>
              <w:t>fiona</w:t>
            </w:r>
            <w:r w:rsidRPr="00DF3C25">
              <w:rPr>
                <w:rFonts w:ascii="Avenir Next LT Pro Light" w:hAnsi="Avenir Next LT Pro Light"/>
                <w:b w:val="0"/>
                <w:bCs/>
                <w:sz w:val="21"/>
                <w:szCs w:val="21"/>
              </w:rPr>
              <w:t>.</w:t>
            </w:r>
            <w:r>
              <w:rPr>
                <w:rFonts w:ascii="Avenir Next LT Pro Light" w:hAnsi="Avenir Next LT Pro Light"/>
                <w:b w:val="0"/>
                <w:bCs/>
                <w:sz w:val="21"/>
                <w:szCs w:val="21"/>
              </w:rPr>
              <w:t>singlehurst</w:t>
            </w:r>
            <w:r w:rsidRPr="00A265B5">
              <w:rPr>
                <w:rFonts w:ascii="Avenir Next LT Pro Light" w:hAnsi="Avenir Next LT Pro Light"/>
                <w:b w:val="0"/>
                <w:bCs/>
                <w:color w:val="000000"/>
                <w:sz w:val="21"/>
                <w:szCs w:val="21"/>
              </w:rPr>
              <w:t>@epm.co.</w:t>
            </w:r>
            <w:r w:rsidRPr="00DF3C25">
              <w:rPr>
                <w:rFonts w:ascii="Avenir Next LT Pro Light" w:hAnsi="Avenir Next LT Pro Light"/>
                <w:b w:val="0"/>
                <w:bCs/>
                <w:sz w:val="21"/>
                <w:szCs w:val="21"/>
              </w:rPr>
              <w:t>uk</w:t>
            </w:r>
          </w:p>
        </w:tc>
        <w:tc>
          <w:tcPr>
            <w:tcW w:w="4111" w:type="dxa"/>
          </w:tcPr>
          <w:p w14:paraId="7BC1C03E" w14:textId="77777777" w:rsidR="002A6A55" w:rsidRPr="00DF3C25" w:rsidRDefault="002A6A55" w:rsidP="009D22B7">
            <w:pPr>
              <w:spacing w:after="120"/>
              <w:rPr>
                <w:rFonts w:ascii="Avenir Next Demi Bold" w:hAnsi="Avenir Next Demi Bold"/>
                <w:b w:val="0"/>
                <w:bCs/>
                <w:sz w:val="21"/>
                <w:szCs w:val="21"/>
              </w:rPr>
            </w:pPr>
            <w:r>
              <w:rPr>
                <w:rFonts w:ascii="Avenir Next Demi Bold" w:hAnsi="Avenir Next Demi Bold"/>
                <w:b w:val="0"/>
                <w:bCs/>
                <w:sz w:val="21"/>
                <w:szCs w:val="21"/>
              </w:rPr>
              <w:t>Ailsa Calverley</w:t>
            </w:r>
          </w:p>
          <w:p w14:paraId="52F90687" w14:textId="3D941474" w:rsidR="002A6A55" w:rsidRPr="00DF3C25" w:rsidRDefault="002A6A55" w:rsidP="009D22B7">
            <w:pPr>
              <w:spacing w:after="120"/>
              <w:rPr>
                <w:rFonts w:ascii="Avenir Next LT Pro Light" w:hAnsi="Avenir Next LT Pro Light"/>
                <w:b w:val="0"/>
                <w:bCs/>
                <w:sz w:val="21"/>
                <w:szCs w:val="21"/>
              </w:rPr>
            </w:pPr>
            <w:r w:rsidRPr="00DF3C25">
              <w:rPr>
                <w:rFonts w:ascii="Avenir Next LT Pro Light" w:hAnsi="Avenir Next LT Pro Light"/>
                <w:b w:val="0"/>
                <w:bCs/>
                <w:color w:val="A31457"/>
                <w:sz w:val="21"/>
                <w:szCs w:val="21"/>
              </w:rPr>
              <w:t xml:space="preserve">T: </w:t>
            </w:r>
            <w:r w:rsidR="000E0514" w:rsidRPr="00C046FE">
              <w:rPr>
                <w:rFonts w:ascii="Avenir Next LT Pro Light" w:hAnsi="Avenir Next LT Pro Light"/>
                <w:b w:val="0"/>
                <w:bCs/>
                <w:color w:val="000000"/>
                <w:sz w:val="21"/>
                <w:szCs w:val="21"/>
              </w:rPr>
              <w:t>01480 483 367</w:t>
            </w:r>
          </w:p>
          <w:p w14:paraId="367C5A8F" w14:textId="77777777" w:rsidR="002A6A55" w:rsidRPr="00DF3C25" w:rsidRDefault="002A6A55" w:rsidP="009D22B7">
            <w:pPr>
              <w:rPr>
                <w:rFonts w:ascii="Avenir Next LT Pro Light" w:hAnsi="Avenir Next LT Pro Light" w:cs="Arial"/>
                <w:b w:val="0"/>
                <w:bCs/>
                <w:sz w:val="21"/>
                <w:szCs w:val="21"/>
              </w:rPr>
            </w:pPr>
            <w:r w:rsidRPr="00DF3C25">
              <w:rPr>
                <w:rFonts w:ascii="Avenir Next LT Pro Light" w:hAnsi="Avenir Next LT Pro Light"/>
                <w:b w:val="0"/>
                <w:bCs/>
                <w:color w:val="A31457"/>
                <w:sz w:val="21"/>
                <w:szCs w:val="21"/>
              </w:rPr>
              <w:t xml:space="preserve">E: </w:t>
            </w:r>
            <w:r w:rsidRPr="00B42066">
              <w:rPr>
                <w:rFonts w:ascii="Avenir Next LT Pro Light" w:hAnsi="Avenir Next LT Pro Light"/>
                <w:b w:val="0"/>
                <w:bCs/>
                <w:sz w:val="21"/>
                <w:szCs w:val="21"/>
              </w:rPr>
              <w:t>ailsa.calverley@epm.co.uk</w:t>
            </w:r>
          </w:p>
        </w:tc>
      </w:tr>
      <w:tr w:rsidR="002A6A55" w:rsidRPr="009F6988" w14:paraId="39546120" w14:textId="77777777" w:rsidTr="009D22B7">
        <w:trPr>
          <w:cnfStyle w:val="000000010000" w:firstRow="0" w:lastRow="0" w:firstColumn="0" w:lastColumn="0" w:oddVBand="0" w:evenVBand="0" w:oddHBand="0" w:evenHBand="1" w:firstRowFirstColumn="0" w:firstRowLastColumn="0" w:lastRowFirstColumn="0" w:lastRowLastColumn="0"/>
        </w:trPr>
        <w:tc>
          <w:tcPr>
            <w:tcW w:w="3969" w:type="dxa"/>
            <w:shd w:val="clear" w:color="auto" w:fill="auto"/>
          </w:tcPr>
          <w:p w14:paraId="4A4E9FC5" w14:textId="77777777" w:rsidR="002A6A55" w:rsidRPr="00DF3C25" w:rsidRDefault="002A6A55" w:rsidP="009D22B7">
            <w:pPr>
              <w:spacing w:after="120"/>
              <w:rPr>
                <w:rFonts w:ascii="Avenir Next Demi Bold" w:hAnsi="Avenir Next Demi Bold"/>
                <w:b w:val="0"/>
                <w:bCs/>
                <w:sz w:val="21"/>
                <w:szCs w:val="21"/>
              </w:rPr>
            </w:pPr>
            <w:r w:rsidRPr="00DF3C25">
              <w:rPr>
                <w:rFonts w:ascii="Avenir Next Demi Bold" w:hAnsi="Avenir Next Demi Bold"/>
                <w:b w:val="0"/>
                <w:bCs/>
                <w:sz w:val="21"/>
                <w:szCs w:val="21"/>
              </w:rPr>
              <w:t>Ashleigh Van Waterschoot</w:t>
            </w:r>
          </w:p>
          <w:p w14:paraId="45541A17" w14:textId="77777777" w:rsidR="002A6A55" w:rsidRPr="00DF3C25" w:rsidRDefault="002A6A55" w:rsidP="009D22B7">
            <w:pPr>
              <w:spacing w:after="120"/>
              <w:rPr>
                <w:rFonts w:ascii="Avenir Next LT Pro Light" w:hAnsi="Avenir Next LT Pro Light"/>
                <w:b w:val="0"/>
                <w:bCs/>
                <w:sz w:val="21"/>
                <w:szCs w:val="21"/>
              </w:rPr>
            </w:pPr>
            <w:r w:rsidRPr="00DF3C25">
              <w:rPr>
                <w:rFonts w:ascii="Avenir Next LT Pro Light" w:hAnsi="Avenir Next LT Pro Light"/>
                <w:b w:val="0"/>
                <w:bCs/>
                <w:color w:val="A31457"/>
                <w:sz w:val="21"/>
                <w:szCs w:val="21"/>
              </w:rPr>
              <w:t xml:space="preserve">T: </w:t>
            </w:r>
            <w:r w:rsidRPr="00DF3C25">
              <w:rPr>
                <w:rFonts w:ascii="Avenir Next LT Pro Light" w:hAnsi="Avenir Next LT Pro Light"/>
                <w:b w:val="0"/>
                <w:bCs/>
                <w:sz w:val="21"/>
                <w:szCs w:val="21"/>
              </w:rPr>
              <w:t>07921 811 029</w:t>
            </w:r>
          </w:p>
          <w:p w14:paraId="4679AFCF" w14:textId="77777777" w:rsidR="002A6A55" w:rsidRPr="00DF3C25" w:rsidRDefault="002A6A55" w:rsidP="009D22B7">
            <w:pPr>
              <w:rPr>
                <w:rFonts w:ascii="Avenir Next LT Pro Light" w:hAnsi="Avenir Next LT Pro Light" w:cs="Arial"/>
                <w:b w:val="0"/>
                <w:bCs/>
                <w:sz w:val="21"/>
                <w:szCs w:val="21"/>
              </w:rPr>
            </w:pPr>
            <w:r w:rsidRPr="00DF3C25">
              <w:rPr>
                <w:rFonts w:ascii="Avenir Next LT Pro Light" w:hAnsi="Avenir Next LT Pro Light"/>
                <w:b w:val="0"/>
                <w:bCs/>
                <w:color w:val="A31457"/>
                <w:sz w:val="21"/>
                <w:szCs w:val="21"/>
              </w:rPr>
              <w:t xml:space="preserve">E: </w:t>
            </w:r>
            <w:r w:rsidRPr="002A6A55">
              <w:rPr>
                <w:rFonts w:ascii="Avenir Next LT Pro Light" w:hAnsi="Avenir Next LT Pro Light"/>
                <w:b w:val="0"/>
                <w:bCs/>
                <w:sz w:val="21"/>
                <w:szCs w:val="21"/>
              </w:rPr>
              <w:t>a</w:t>
            </w:r>
            <w:r w:rsidRPr="00DF3C25">
              <w:rPr>
                <w:rFonts w:ascii="Avenir Next LT Pro Light" w:hAnsi="Avenir Next LT Pro Light"/>
                <w:b w:val="0"/>
                <w:bCs/>
                <w:sz w:val="21"/>
                <w:szCs w:val="21"/>
              </w:rPr>
              <w:t>shleigh.vanwaterschoot@epm.co.uk</w:t>
            </w:r>
          </w:p>
        </w:tc>
        <w:tc>
          <w:tcPr>
            <w:tcW w:w="4111" w:type="dxa"/>
            <w:shd w:val="clear" w:color="auto" w:fill="auto"/>
          </w:tcPr>
          <w:p w14:paraId="455A6EAB" w14:textId="77777777" w:rsidR="002A6A55" w:rsidRPr="00DF3C25" w:rsidRDefault="002A6A55" w:rsidP="009D22B7">
            <w:pPr>
              <w:rPr>
                <w:rFonts w:ascii="Avenir Next LT Pro Light" w:hAnsi="Avenir Next LT Pro Light" w:cs="Arial"/>
                <w:b w:val="0"/>
                <w:bCs/>
                <w:sz w:val="21"/>
                <w:szCs w:val="21"/>
              </w:rPr>
            </w:pPr>
          </w:p>
        </w:tc>
      </w:tr>
    </w:tbl>
    <w:p w14:paraId="13EE15FB" w14:textId="2052459A" w:rsidR="0008762F" w:rsidRPr="001D2E07" w:rsidRDefault="0008762F" w:rsidP="00E85133">
      <w:pPr>
        <w:pStyle w:val="EPMNumberedHeading"/>
      </w:pPr>
      <w:bookmarkStart w:id="1" w:name="_Toc55832561"/>
      <w:r w:rsidRPr="001D2E07">
        <w:t>Advice and Guidance for Trustees on the Salaries of Headteachers in accordance with the STPCD 202</w:t>
      </w:r>
      <w:bookmarkEnd w:id="1"/>
      <w:r w:rsidR="00AC622D">
        <w:t>5</w:t>
      </w:r>
    </w:p>
    <w:p w14:paraId="2FCDF7A8" w14:textId="77777777" w:rsidR="0008762F" w:rsidRPr="00DB0738" w:rsidRDefault="0008762F" w:rsidP="008D0CAA">
      <w:pPr>
        <w:pStyle w:val="EPMTextstyle"/>
        <w:ind w:left="709"/>
        <w:jc w:val="both"/>
        <w:rPr>
          <w:rFonts w:ascii="Avenir Next LT Pro Light" w:hAnsi="Avenir Next LT Pro Light" w:cstheme="minorBidi"/>
          <w:szCs w:val="21"/>
        </w:rPr>
      </w:pPr>
      <w:r w:rsidRPr="00DB0738">
        <w:rPr>
          <w:rFonts w:ascii="Avenir Next LT Pro Light" w:hAnsi="Avenir Next LT Pro Light" w:cstheme="minorBidi"/>
          <w:szCs w:val="21"/>
        </w:rPr>
        <w:t>(With additional information regarding other members of the Leadership Group)</w:t>
      </w:r>
    </w:p>
    <w:p w14:paraId="316EFAF8" w14:textId="6F6A79EC" w:rsidR="00F83462" w:rsidRDefault="00F83462" w:rsidP="00F83462">
      <w:pPr>
        <w:pStyle w:val="EPMTextstyle"/>
        <w:ind w:left="709"/>
        <w:jc w:val="both"/>
      </w:pPr>
      <w:bookmarkStart w:id="2" w:name="_Toc55832562"/>
      <w:r w:rsidRPr="73E417E6">
        <w:rPr>
          <w:rFonts w:ascii="Avenir Next LT Pro Light" w:hAnsi="Avenir Next LT Pro Light" w:cstheme="minorBidi"/>
        </w:rPr>
        <w:t xml:space="preserve">The Department for Education (DfE) has published the School Teachers’ Pay and Conditions Document 2025 (STPCD). You can access a copy of the STPCD 2025 on the </w:t>
      </w:r>
      <w:r w:rsidR="7000EBA7" w:rsidRPr="73E417E6">
        <w:rPr>
          <w:rFonts w:ascii="Avenir Next LT Pro Light" w:hAnsi="Avenir Next LT Pro Light" w:cstheme="minorBidi"/>
        </w:rPr>
        <w:t>EPM website</w:t>
      </w:r>
      <w:r w:rsidR="00F14D4A" w:rsidRPr="73E417E6">
        <w:rPr>
          <w:rFonts w:ascii="Avenir Next LT Pro Light" w:hAnsi="Avenir Next LT Pro Light" w:cstheme="minorBidi"/>
        </w:rPr>
        <w:t xml:space="preserve"> </w:t>
      </w:r>
      <w:r w:rsidR="1B6CEA8F" w:rsidRPr="73E417E6">
        <w:rPr>
          <w:rFonts w:ascii="Avenir Next LT Pro Light" w:hAnsi="Avenir Next LT Pro Light" w:cstheme="minorBidi"/>
        </w:rPr>
        <w:t xml:space="preserve">- </w:t>
      </w:r>
      <w:hyperlink r:id="rId18">
        <w:r w:rsidR="1B6CEA8F" w:rsidRPr="00974513">
          <w:rPr>
            <w:rStyle w:val="EPMHyperlinksChar"/>
            <w:rFonts w:eastAsiaTheme="minorEastAsia" w:cstheme="minorBidi"/>
            <w:color w:val="07568F"/>
          </w:rPr>
          <w:t>School teachers’ pay and conditions guidance 2025</w:t>
        </w:r>
      </w:hyperlink>
      <w:r w:rsidR="0062281A" w:rsidRPr="0062281A">
        <w:rPr>
          <w:rStyle w:val="EPMHyperlinksChar"/>
          <w:rFonts w:asciiTheme="minorHAnsi" w:eastAsiaTheme="minorEastAsia" w:hAnsiTheme="minorHAnsi" w:cstheme="minorBidi"/>
          <w:color w:val="auto"/>
        </w:rPr>
        <w:t>.</w:t>
      </w:r>
      <w:r w:rsidRPr="73E417E6">
        <w:rPr>
          <w:rStyle w:val="EPMHyperlinksChar"/>
          <w:rFonts w:asciiTheme="minorHAnsi" w:eastAsiaTheme="minorEastAsia" w:hAnsiTheme="minorHAnsi" w:cstheme="minorBidi"/>
          <w:color w:val="auto"/>
        </w:rPr>
        <w:t xml:space="preserve"> </w:t>
      </w:r>
      <w:r w:rsidRPr="73E417E6">
        <w:rPr>
          <w:rFonts w:ascii="Avenir Next LT Pro Light" w:hAnsi="Avenir Next LT Pro Light" w:cstheme="minorBidi"/>
        </w:rPr>
        <w:t>The information covering the sections of the STPCD for the Headteacher, and the Leadership Group is set out below for ease of reference.</w:t>
      </w:r>
    </w:p>
    <w:p w14:paraId="7AB4A931" w14:textId="77777777" w:rsidR="007101F7" w:rsidRDefault="007101F7">
      <w:pPr>
        <w:rPr>
          <w:rFonts w:ascii="Avenir Next LT Pro Demi" w:hAnsi="Avenir Next LT Pro Demi" w:cs="Arial"/>
          <w:color w:val="A31457"/>
          <w:sz w:val="28"/>
          <w:szCs w:val="28"/>
        </w:rPr>
      </w:pPr>
      <w:r>
        <w:br w:type="page"/>
      </w:r>
    </w:p>
    <w:p w14:paraId="7A0926D1" w14:textId="52895CA9" w:rsidR="0008762F" w:rsidRPr="007D7800" w:rsidRDefault="0008762F" w:rsidP="00E85133">
      <w:pPr>
        <w:pStyle w:val="EPMNumberedHeading"/>
      </w:pPr>
      <w:r w:rsidRPr="007D7800">
        <w:lastRenderedPageBreak/>
        <w:t xml:space="preserve">Pay – </w:t>
      </w:r>
      <w:r>
        <w:t>G</w:t>
      </w:r>
      <w:r w:rsidRPr="009778CB">
        <w:t>eneral</w:t>
      </w:r>
      <w:bookmarkEnd w:id="2"/>
    </w:p>
    <w:p w14:paraId="63D38286" w14:textId="77777777" w:rsidR="000576BA" w:rsidRPr="004F6BD3" w:rsidRDefault="000576BA" w:rsidP="000576BA">
      <w:pPr>
        <w:pStyle w:val="EPMTextstyle"/>
        <w:ind w:left="709"/>
        <w:jc w:val="both"/>
        <w:rPr>
          <w:rFonts w:ascii="Avenir Next LT Pro Light" w:hAnsi="Avenir Next LT Pro Light" w:cstheme="minorBidi"/>
          <w:szCs w:val="21"/>
        </w:rPr>
      </w:pPr>
      <w:bookmarkStart w:id="3" w:name="_Toc55832563"/>
      <w:r w:rsidRPr="004F6BD3">
        <w:rPr>
          <w:rFonts w:ascii="Avenir Next LT Pro Light" w:hAnsi="Avenir Next LT Pro Light" w:cstheme="minorBidi"/>
          <w:szCs w:val="21"/>
        </w:rPr>
        <w:t>From 1 September 202</w:t>
      </w:r>
      <w:r>
        <w:rPr>
          <w:rFonts w:ascii="Avenir Next LT Pro Light" w:hAnsi="Avenir Next LT Pro Light" w:cstheme="minorBidi"/>
          <w:szCs w:val="21"/>
        </w:rPr>
        <w:t>5</w:t>
      </w:r>
      <w:r w:rsidRPr="004F6BD3">
        <w:rPr>
          <w:rFonts w:ascii="Avenir Next LT Pro Light" w:hAnsi="Avenir Next LT Pro Light" w:cstheme="minorBidi"/>
          <w:szCs w:val="21"/>
        </w:rPr>
        <w:t xml:space="preserve">: </w:t>
      </w:r>
    </w:p>
    <w:p w14:paraId="44434C09" w14:textId="77777777" w:rsidR="000576BA" w:rsidRPr="004F6BD3" w:rsidRDefault="000576BA" w:rsidP="000576BA">
      <w:pPr>
        <w:pStyle w:val="EPMBullets"/>
        <w:rPr>
          <w:rFonts w:ascii="Avenir Next LT Pro Light" w:hAnsi="Avenir Next LT Pro Light" w:cstheme="minorBidi"/>
          <w:szCs w:val="21"/>
        </w:rPr>
      </w:pPr>
      <w:r w:rsidRPr="004F6BD3">
        <w:rPr>
          <w:rFonts w:ascii="Avenir Next LT Pro Light" w:hAnsi="Avenir Next LT Pro Light" w:cstheme="minorBidi"/>
          <w:szCs w:val="21"/>
        </w:rPr>
        <w:t xml:space="preserve">A </w:t>
      </w:r>
      <w:r>
        <w:rPr>
          <w:rFonts w:ascii="Avenir Next LT Pro Light" w:hAnsi="Avenir Next LT Pro Light" w:cstheme="minorBidi"/>
          <w:szCs w:val="21"/>
        </w:rPr>
        <w:t>4</w:t>
      </w:r>
      <w:r w:rsidRPr="004F6BD3">
        <w:rPr>
          <w:rFonts w:ascii="Avenir Next LT Pro Light" w:hAnsi="Avenir Next LT Pro Light" w:cstheme="minorBidi"/>
          <w:szCs w:val="21"/>
        </w:rPr>
        <w:t xml:space="preserve">% uplift </w:t>
      </w:r>
      <w:r>
        <w:rPr>
          <w:rFonts w:ascii="Avenir Next LT Pro Light" w:hAnsi="Avenir Next LT Pro Light" w:cstheme="minorBidi"/>
          <w:szCs w:val="21"/>
        </w:rPr>
        <w:t>to be</w:t>
      </w:r>
      <w:r w:rsidRPr="004F6BD3">
        <w:rPr>
          <w:rFonts w:ascii="Avenir Next LT Pro Light" w:hAnsi="Avenir Next LT Pro Light" w:cstheme="minorBidi"/>
          <w:szCs w:val="21"/>
        </w:rPr>
        <w:t xml:space="preserve"> applied to all teachers’ pay ranges, advisory points and allowances for teachers and leaders with effect from 1 September 202</w:t>
      </w:r>
      <w:r>
        <w:rPr>
          <w:rFonts w:ascii="Avenir Next LT Pro Light" w:hAnsi="Avenir Next LT Pro Light" w:cstheme="minorBidi"/>
          <w:szCs w:val="21"/>
        </w:rPr>
        <w:t>5.</w:t>
      </w:r>
    </w:p>
    <w:p w14:paraId="64C8CAB0" w14:textId="77777777" w:rsidR="000576BA" w:rsidRPr="004F6BD3" w:rsidRDefault="000576BA" w:rsidP="000576BA">
      <w:pPr>
        <w:pStyle w:val="EPMTextstyle"/>
        <w:ind w:left="709"/>
        <w:jc w:val="both"/>
        <w:rPr>
          <w:rFonts w:ascii="Avenir Next LT Pro Light" w:hAnsi="Avenir Next LT Pro Light" w:cstheme="minorBidi"/>
          <w:szCs w:val="21"/>
        </w:rPr>
      </w:pPr>
      <w:r w:rsidRPr="004F6BD3">
        <w:rPr>
          <w:rFonts w:ascii="Avenir Next LT Pro Light" w:hAnsi="Avenir Next LT Pro Light" w:cstheme="minorBidi"/>
          <w:szCs w:val="21"/>
        </w:rPr>
        <w:t>The following are relevant extracts from the STPCD 202</w:t>
      </w:r>
      <w:r>
        <w:rPr>
          <w:rFonts w:ascii="Avenir Next LT Pro Light" w:hAnsi="Avenir Next LT Pro Light" w:cstheme="minorBidi"/>
          <w:szCs w:val="21"/>
        </w:rPr>
        <w:t>5</w:t>
      </w:r>
      <w:r w:rsidRPr="004F6BD3">
        <w:rPr>
          <w:rFonts w:ascii="Avenir Next LT Pro Light" w:hAnsi="Avenir Next LT Pro Light" w:cstheme="minorBidi"/>
          <w:szCs w:val="21"/>
        </w:rPr>
        <w:t>.</w:t>
      </w:r>
    </w:p>
    <w:p w14:paraId="7B3ABD94" w14:textId="5173CA62" w:rsidR="00935A20" w:rsidRPr="007D7800" w:rsidRDefault="00935A20" w:rsidP="00E85133">
      <w:pPr>
        <w:pStyle w:val="EPMNumberedHeading"/>
      </w:pPr>
      <w:r w:rsidRPr="00617946">
        <w:t>Leadership</w:t>
      </w:r>
      <w:r w:rsidRPr="007D7800">
        <w:t xml:space="preserve"> Group Pay Range </w:t>
      </w:r>
      <w:r>
        <w:t>202</w:t>
      </w:r>
      <w:r w:rsidR="00BD6E0A">
        <w:t>5</w:t>
      </w:r>
      <w:r w:rsidRPr="007D7800">
        <w:t xml:space="preserve"> –</w:t>
      </w:r>
      <w:r>
        <w:t xml:space="preserve"> </w:t>
      </w:r>
      <w:r w:rsidRPr="009778CB">
        <w:t>Annual</w:t>
      </w:r>
      <w:r w:rsidRPr="007D7800">
        <w:t xml:space="preserve"> Salary</w:t>
      </w:r>
      <w:bookmarkEnd w:id="3"/>
    </w:p>
    <w:tbl>
      <w:tblPr>
        <w:tblStyle w:val="EPMTableStyle"/>
        <w:tblW w:w="8647" w:type="dxa"/>
        <w:tblInd w:w="709" w:type="dxa"/>
        <w:tblLook w:val="04A0" w:firstRow="1" w:lastRow="0" w:firstColumn="1" w:lastColumn="0" w:noHBand="0" w:noVBand="1"/>
      </w:tblPr>
      <w:tblGrid>
        <w:gridCol w:w="1276"/>
        <w:gridCol w:w="2344"/>
        <w:gridCol w:w="1676"/>
        <w:gridCol w:w="1675"/>
        <w:gridCol w:w="1676"/>
      </w:tblGrid>
      <w:tr w:rsidR="008D0CAA" w14:paraId="5B5C1584" w14:textId="77777777" w:rsidTr="005F6A48">
        <w:trPr>
          <w:cnfStyle w:val="100000000000" w:firstRow="1" w:lastRow="0" w:firstColumn="0" w:lastColumn="0" w:oddVBand="0" w:evenVBand="0" w:oddHBand="0" w:evenHBand="0" w:firstRowFirstColumn="0" w:firstRowLastColumn="0" w:lastRowFirstColumn="0" w:lastRowLastColumn="0"/>
        </w:trPr>
        <w:tc>
          <w:tcPr>
            <w:tcW w:w="1276" w:type="dxa"/>
          </w:tcPr>
          <w:p w14:paraId="1787C969" w14:textId="77777777" w:rsidR="00935A20" w:rsidRPr="00905F11" w:rsidRDefault="00935A20" w:rsidP="009D22B7">
            <w:pPr>
              <w:spacing w:before="120" w:after="120"/>
              <w:jc w:val="center"/>
              <w:rPr>
                <w:rFonts w:ascii="Avenir Next LT Pro Demi" w:hAnsi="Avenir Next LT Pro Demi"/>
                <w:sz w:val="21"/>
                <w:szCs w:val="21"/>
              </w:rPr>
            </w:pPr>
          </w:p>
        </w:tc>
        <w:tc>
          <w:tcPr>
            <w:tcW w:w="2344" w:type="dxa"/>
          </w:tcPr>
          <w:p w14:paraId="5C764F1F" w14:textId="3C243344" w:rsidR="00935A20" w:rsidRPr="00905F11" w:rsidRDefault="00935A20" w:rsidP="00E85133">
            <w:pPr>
              <w:pStyle w:val="TableHeader"/>
              <w:spacing w:before="120" w:after="120" w:line="240" w:lineRule="auto"/>
              <w:jc w:val="center"/>
              <w:rPr>
                <w:rFonts w:ascii="Avenir Next LT Pro Demi" w:hAnsi="Avenir Next LT Pro Demi"/>
                <w:sz w:val="21"/>
                <w:szCs w:val="21"/>
              </w:rPr>
            </w:pPr>
            <w:r w:rsidRPr="00905F11">
              <w:rPr>
                <w:rFonts w:ascii="Avenir Next LT Pro Demi" w:hAnsi="Avenir Next LT Pro Demi" w:cstheme="minorHAnsi"/>
                <w:sz w:val="21"/>
                <w:szCs w:val="21"/>
              </w:rPr>
              <w:t>England and Wales (excluding the London Area)</w:t>
            </w:r>
            <w:r w:rsidR="00E85133">
              <w:rPr>
                <w:rFonts w:ascii="Avenir Next LT Pro Demi" w:hAnsi="Avenir Next LT Pro Demi" w:cstheme="minorHAnsi"/>
                <w:sz w:val="21"/>
                <w:szCs w:val="21"/>
              </w:rPr>
              <w:br/>
            </w:r>
            <w:r w:rsidRPr="00905F11">
              <w:rPr>
                <w:rFonts w:ascii="Avenir Next LT Pro Demi" w:hAnsi="Avenir Next LT Pro Demi"/>
                <w:sz w:val="21"/>
                <w:szCs w:val="21"/>
              </w:rPr>
              <w:t>£</w:t>
            </w:r>
          </w:p>
        </w:tc>
        <w:tc>
          <w:tcPr>
            <w:tcW w:w="1676" w:type="dxa"/>
          </w:tcPr>
          <w:p w14:paraId="6F98F1C8" w14:textId="6B07F845" w:rsidR="00935A20" w:rsidRPr="00905F11" w:rsidRDefault="00935A20" w:rsidP="00E85133">
            <w:pPr>
              <w:pStyle w:val="TableHeader"/>
              <w:spacing w:before="120" w:after="120" w:line="240" w:lineRule="auto"/>
              <w:jc w:val="center"/>
              <w:rPr>
                <w:rFonts w:ascii="Avenir Next LT Pro Demi" w:hAnsi="Avenir Next LT Pro Demi"/>
                <w:sz w:val="21"/>
                <w:szCs w:val="21"/>
              </w:rPr>
            </w:pPr>
            <w:r w:rsidRPr="00905F11">
              <w:rPr>
                <w:rFonts w:ascii="Avenir Next LT Pro Demi" w:hAnsi="Avenir Next LT Pro Demi" w:cstheme="minorHAnsi"/>
                <w:sz w:val="21"/>
                <w:szCs w:val="21"/>
              </w:rPr>
              <w:t>Inner London Area</w:t>
            </w:r>
            <w:r w:rsidR="00E85133">
              <w:rPr>
                <w:rFonts w:ascii="Avenir Next LT Pro Demi" w:hAnsi="Avenir Next LT Pro Demi" w:cstheme="minorHAnsi"/>
                <w:sz w:val="21"/>
                <w:szCs w:val="21"/>
              </w:rPr>
              <w:br/>
            </w:r>
            <w:r w:rsidRPr="00905F11">
              <w:rPr>
                <w:rFonts w:ascii="Avenir Next LT Pro Demi" w:hAnsi="Avenir Next LT Pro Demi"/>
                <w:sz w:val="21"/>
                <w:szCs w:val="21"/>
              </w:rPr>
              <w:t>£</w:t>
            </w:r>
          </w:p>
        </w:tc>
        <w:tc>
          <w:tcPr>
            <w:tcW w:w="1675" w:type="dxa"/>
          </w:tcPr>
          <w:p w14:paraId="30B93066" w14:textId="6A75E0F6" w:rsidR="00935A20" w:rsidRPr="00905F11" w:rsidRDefault="00935A20" w:rsidP="00E85133">
            <w:pPr>
              <w:pStyle w:val="TableHeader"/>
              <w:spacing w:before="120" w:after="120" w:line="240" w:lineRule="auto"/>
              <w:jc w:val="center"/>
              <w:rPr>
                <w:rFonts w:ascii="Avenir Next LT Pro Demi" w:hAnsi="Avenir Next LT Pro Demi"/>
                <w:sz w:val="21"/>
                <w:szCs w:val="21"/>
              </w:rPr>
            </w:pPr>
            <w:r w:rsidRPr="00905F11">
              <w:rPr>
                <w:rFonts w:ascii="Avenir Next LT Pro Demi" w:hAnsi="Avenir Next LT Pro Demi" w:cstheme="minorHAnsi"/>
                <w:sz w:val="21"/>
                <w:szCs w:val="21"/>
              </w:rPr>
              <w:t>Outer London Area</w:t>
            </w:r>
            <w:r w:rsidR="00E85133">
              <w:rPr>
                <w:rFonts w:ascii="Avenir Next LT Pro Demi" w:hAnsi="Avenir Next LT Pro Demi" w:cstheme="minorHAnsi"/>
                <w:sz w:val="21"/>
                <w:szCs w:val="21"/>
              </w:rPr>
              <w:br/>
            </w:r>
            <w:r w:rsidRPr="00905F11">
              <w:rPr>
                <w:rFonts w:ascii="Avenir Next LT Pro Demi" w:hAnsi="Avenir Next LT Pro Demi"/>
                <w:sz w:val="21"/>
                <w:szCs w:val="21"/>
              </w:rPr>
              <w:t>£</w:t>
            </w:r>
          </w:p>
        </w:tc>
        <w:tc>
          <w:tcPr>
            <w:tcW w:w="1676" w:type="dxa"/>
          </w:tcPr>
          <w:p w14:paraId="4B8274D9" w14:textId="77777777" w:rsidR="00935A20" w:rsidRPr="00905F11" w:rsidRDefault="00935A20" w:rsidP="009D22B7">
            <w:pPr>
              <w:pStyle w:val="TableHeader"/>
              <w:spacing w:before="120" w:after="120" w:line="240" w:lineRule="auto"/>
              <w:jc w:val="center"/>
              <w:rPr>
                <w:rFonts w:ascii="Avenir Next LT Pro Demi" w:hAnsi="Avenir Next LT Pro Demi" w:cstheme="minorHAnsi"/>
                <w:b/>
                <w:sz w:val="21"/>
                <w:szCs w:val="21"/>
              </w:rPr>
            </w:pPr>
            <w:r w:rsidRPr="00905F11">
              <w:rPr>
                <w:rFonts w:ascii="Avenir Next LT Pro Demi" w:hAnsi="Avenir Next LT Pro Demi" w:cstheme="minorHAnsi"/>
                <w:sz w:val="21"/>
                <w:szCs w:val="21"/>
              </w:rPr>
              <w:t>Fringe Area</w:t>
            </w:r>
          </w:p>
          <w:p w14:paraId="66C980B9" w14:textId="47441DE0" w:rsidR="00935A20" w:rsidRPr="00905F11" w:rsidRDefault="00935A20" w:rsidP="009D22B7">
            <w:pPr>
              <w:spacing w:before="120" w:after="120"/>
              <w:jc w:val="center"/>
              <w:rPr>
                <w:rFonts w:ascii="Avenir Next LT Pro Demi" w:hAnsi="Avenir Next LT Pro Demi"/>
                <w:sz w:val="21"/>
                <w:szCs w:val="21"/>
              </w:rPr>
            </w:pPr>
            <w:r w:rsidRPr="00905F11">
              <w:rPr>
                <w:rFonts w:ascii="Avenir Next LT Pro Demi" w:hAnsi="Avenir Next LT Pro Demi"/>
                <w:sz w:val="21"/>
                <w:szCs w:val="21"/>
              </w:rPr>
              <w:t>£</w:t>
            </w:r>
            <w:r w:rsidR="00E85133">
              <w:rPr>
                <w:rFonts w:ascii="Avenir Next LT Pro Demi" w:hAnsi="Avenir Next LT Pro Demi"/>
                <w:sz w:val="21"/>
                <w:szCs w:val="21"/>
              </w:rPr>
              <w:br/>
            </w:r>
          </w:p>
        </w:tc>
      </w:tr>
      <w:tr w:rsidR="00BD6E0A" w14:paraId="40CC09EC" w14:textId="77777777" w:rsidTr="005F6A48">
        <w:tc>
          <w:tcPr>
            <w:tcW w:w="1276" w:type="dxa"/>
          </w:tcPr>
          <w:p w14:paraId="76B260C3" w14:textId="77777777" w:rsidR="00BD6E0A" w:rsidRPr="00DF3C25" w:rsidRDefault="00BD6E0A" w:rsidP="00BD6E0A">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Minimum</w:t>
            </w:r>
          </w:p>
        </w:tc>
        <w:tc>
          <w:tcPr>
            <w:tcW w:w="2344" w:type="dxa"/>
          </w:tcPr>
          <w:p w14:paraId="343703B0" w14:textId="657C8072" w:rsidR="00BD6E0A" w:rsidRPr="00905F11" w:rsidRDefault="00BD6E0A" w:rsidP="00BD6E0A">
            <w:pPr>
              <w:jc w:val="center"/>
              <w:rPr>
                <w:rFonts w:ascii="Avenir Next LT Pro Light" w:hAnsi="Avenir Next LT Pro Light"/>
                <w:b w:val="0"/>
                <w:bCs/>
                <w:sz w:val="21"/>
                <w:szCs w:val="21"/>
              </w:rPr>
            </w:pPr>
            <w:r w:rsidRPr="00A1152B">
              <w:rPr>
                <w:rFonts w:ascii="Avenir Next LT Pro Light" w:hAnsi="Avenir Next LT Pro Light"/>
                <w:b w:val="0"/>
                <w:bCs/>
                <w:sz w:val="21"/>
                <w:szCs w:val="21"/>
              </w:rPr>
              <w:t>51,773</w:t>
            </w:r>
          </w:p>
        </w:tc>
        <w:tc>
          <w:tcPr>
            <w:tcW w:w="1676" w:type="dxa"/>
          </w:tcPr>
          <w:p w14:paraId="3D9551AD" w14:textId="04AD28DE" w:rsidR="00BD6E0A" w:rsidRPr="00905F11" w:rsidRDefault="00BD6E0A" w:rsidP="00BD6E0A">
            <w:pPr>
              <w:jc w:val="center"/>
              <w:rPr>
                <w:rFonts w:ascii="Avenir Next LT Pro Light" w:hAnsi="Avenir Next LT Pro Light"/>
                <w:b w:val="0"/>
                <w:bCs/>
                <w:sz w:val="21"/>
                <w:szCs w:val="21"/>
              </w:rPr>
            </w:pPr>
            <w:r w:rsidRPr="00370430">
              <w:rPr>
                <w:rFonts w:ascii="Avenir Next LT Pro Light" w:hAnsi="Avenir Next LT Pro Light"/>
                <w:b w:val="0"/>
                <w:bCs/>
                <w:sz w:val="21"/>
                <w:szCs w:val="21"/>
              </w:rPr>
              <w:t>61,554</w:t>
            </w:r>
          </w:p>
        </w:tc>
        <w:tc>
          <w:tcPr>
            <w:tcW w:w="1675" w:type="dxa"/>
          </w:tcPr>
          <w:p w14:paraId="246B326A" w14:textId="29C609A4" w:rsidR="00BD6E0A" w:rsidRPr="00905F11" w:rsidRDefault="00BD6E0A" w:rsidP="00BD6E0A">
            <w:pPr>
              <w:jc w:val="center"/>
              <w:rPr>
                <w:rFonts w:ascii="Avenir Next LT Pro Light" w:hAnsi="Avenir Next LT Pro Light"/>
                <w:b w:val="0"/>
                <w:bCs/>
                <w:sz w:val="21"/>
                <w:szCs w:val="21"/>
              </w:rPr>
            </w:pPr>
            <w:r w:rsidRPr="00766567">
              <w:rPr>
                <w:rFonts w:ascii="Avenir Next LT Pro Light" w:hAnsi="Avenir Next LT Pro Light"/>
                <w:b w:val="0"/>
                <w:bCs/>
                <w:sz w:val="21"/>
                <w:szCs w:val="21"/>
              </w:rPr>
              <w:t>55,881</w:t>
            </w:r>
          </w:p>
        </w:tc>
        <w:tc>
          <w:tcPr>
            <w:tcW w:w="1676" w:type="dxa"/>
          </w:tcPr>
          <w:p w14:paraId="3F79DACF" w14:textId="3C11720D" w:rsidR="00BD6E0A" w:rsidRPr="00905F11" w:rsidRDefault="00BD6E0A" w:rsidP="00BD6E0A">
            <w:pPr>
              <w:jc w:val="center"/>
              <w:rPr>
                <w:rFonts w:ascii="Avenir Next LT Pro Light" w:hAnsi="Avenir Next LT Pro Light"/>
                <w:b w:val="0"/>
                <w:bCs/>
                <w:sz w:val="21"/>
                <w:szCs w:val="21"/>
              </w:rPr>
            </w:pPr>
            <w:r w:rsidRPr="00636A5F">
              <w:rPr>
                <w:rFonts w:ascii="Avenir Next LT Pro Light" w:hAnsi="Avenir Next LT Pro Light"/>
                <w:b w:val="0"/>
                <w:bCs/>
                <w:sz w:val="21"/>
                <w:szCs w:val="21"/>
              </w:rPr>
              <w:t>53,198</w:t>
            </w:r>
          </w:p>
        </w:tc>
      </w:tr>
      <w:tr w:rsidR="00BD6E0A" w14:paraId="79B023F3" w14:textId="77777777" w:rsidTr="00670A91">
        <w:trPr>
          <w:cnfStyle w:val="000000010000" w:firstRow="0" w:lastRow="0" w:firstColumn="0" w:lastColumn="0" w:oddVBand="0" w:evenVBand="0" w:oddHBand="0" w:evenHBand="1" w:firstRowFirstColumn="0" w:firstRowLastColumn="0" w:lastRowFirstColumn="0" w:lastRowLastColumn="0"/>
        </w:trPr>
        <w:tc>
          <w:tcPr>
            <w:tcW w:w="1276" w:type="dxa"/>
            <w:shd w:val="clear" w:color="auto" w:fill="FFFFFF" w:themeFill="background1"/>
          </w:tcPr>
          <w:p w14:paraId="6EA56A97" w14:textId="77777777" w:rsidR="00BD6E0A" w:rsidRPr="00DF3C25" w:rsidRDefault="00BD6E0A" w:rsidP="00BD6E0A">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Maximum</w:t>
            </w:r>
          </w:p>
        </w:tc>
        <w:tc>
          <w:tcPr>
            <w:tcW w:w="2344" w:type="dxa"/>
            <w:shd w:val="clear" w:color="auto" w:fill="FFFFFF" w:themeFill="background1"/>
          </w:tcPr>
          <w:p w14:paraId="5AF7041C" w14:textId="3773C8D8" w:rsidR="00BD6E0A" w:rsidRPr="00905F11" w:rsidRDefault="00BD6E0A" w:rsidP="00BD6E0A">
            <w:pPr>
              <w:jc w:val="center"/>
              <w:rPr>
                <w:rFonts w:ascii="Avenir Next LT Pro Light" w:hAnsi="Avenir Next LT Pro Light"/>
                <w:b w:val="0"/>
                <w:bCs/>
                <w:sz w:val="21"/>
                <w:szCs w:val="21"/>
              </w:rPr>
            </w:pPr>
            <w:r w:rsidRPr="00DF7311">
              <w:rPr>
                <w:rFonts w:ascii="Avenir Next LT Pro Light" w:hAnsi="Avenir Next LT Pro Light"/>
                <w:b w:val="0"/>
                <w:bCs/>
                <w:sz w:val="21"/>
                <w:szCs w:val="21"/>
              </w:rPr>
              <w:t>143,796</w:t>
            </w:r>
          </w:p>
        </w:tc>
        <w:tc>
          <w:tcPr>
            <w:tcW w:w="1676" w:type="dxa"/>
            <w:shd w:val="clear" w:color="auto" w:fill="FFFFFF" w:themeFill="background1"/>
          </w:tcPr>
          <w:p w14:paraId="51659DAF" w14:textId="6B1E829F" w:rsidR="00BD6E0A" w:rsidRPr="00905F11" w:rsidRDefault="00BD6E0A" w:rsidP="00BD6E0A">
            <w:pPr>
              <w:jc w:val="center"/>
              <w:rPr>
                <w:rFonts w:ascii="Avenir Next LT Pro Light" w:hAnsi="Avenir Next LT Pro Light"/>
                <w:b w:val="0"/>
                <w:bCs/>
                <w:sz w:val="21"/>
                <w:szCs w:val="21"/>
              </w:rPr>
            </w:pPr>
            <w:r w:rsidRPr="00D83D56">
              <w:rPr>
                <w:rFonts w:ascii="Avenir Next LT Pro Light" w:hAnsi="Avenir Next LT Pro Light"/>
                <w:b w:val="0"/>
                <w:bCs/>
                <w:sz w:val="21"/>
                <w:szCs w:val="21"/>
              </w:rPr>
              <w:t>153,490</w:t>
            </w:r>
          </w:p>
        </w:tc>
        <w:tc>
          <w:tcPr>
            <w:tcW w:w="1675" w:type="dxa"/>
            <w:shd w:val="clear" w:color="auto" w:fill="FFFFFF" w:themeFill="background1"/>
          </w:tcPr>
          <w:p w14:paraId="425F118C" w14:textId="0CA79BEE" w:rsidR="00BD6E0A" w:rsidRPr="00905F11" w:rsidRDefault="00BD6E0A" w:rsidP="00BD6E0A">
            <w:pPr>
              <w:jc w:val="center"/>
              <w:rPr>
                <w:rFonts w:ascii="Avenir Next LT Pro Light" w:hAnsi="Avenir Next LT Pro Light"/>
                <w:b w:val="0"/>
                <w:bCs/>
                <w:sz w:val="21"/>
                <w:szCs w:val="21"/>
              </w:rPr>
            </w:pPr>
            <w:r w:rsidRPr="00740C32">
              <w:rPr>
                <w:rFonts w:ascii="Avenir Next LT Pro Light" w:hAnsi="Avenir Next LT Pro Light"/>
                <w:b w:val="0"/>
                <w:bCs/>
                <w:sz w:val="21"/>
                <w:szCs w:val="21"/>
              </w:rPr>
              <w:t>147,866</w:t>
            </w:r>
          </w:p>
        </w:tc>
        <w:tc>
          <w:tcPr>
            <w:tcW w:w="1676" w:type="dxa"/>
            <w:shd w:val="clear" w:color="auto" w:fill="FFFFFF" w:themeFill="background1"/>
          </w:tcPr>
          <w:p w14:paraId="543112EE" w14:textId="7D8F4E39" w:rsidR="00BD6E0A" w:rsidRPr="00905F11" w:rsidRDefault="00BD6E0A" w:rsidP="00BD6E0A">
            <w:pPr>
              <w:jc w:val="center"/>
              <w:rPr>
                <w:rFonts w:ascii="Avenir Next LT Pro Light" w:hAnsi="Avenir Next LT Pro Light"/>
                <w:b w:val="0"/>
                <w:bCs/>
                <w:sz w:val="21"/>
                <w:szCs w:val="21"/>
              </w:rPr>
            </w:pPr>
            <w:r w:rsidRPr="004D4F41">
              <w:rPr>
                <w:rFonts w:ascii="Avenir Next LT Pro Light" w:hAnsi="Avenir Next LT Pro Light"/>
                <w:b w:val="0"/>
                <w:bCs/>
                <w:sz w:val="21"/>
                <w:szCs w:val="21"/>
              </w:rPr>
              <w:t>145,218</w:t>
            </w:r>
          </w:p>
        </w:tc>
      </w:tr>
    </w:tbl>
    <w:p w14:paraId="6B243683" w14:textId="77777777" w:rsidR="00935A20" w:rsidRPr="00581D3D" w:rsidRDefault="00935A20" w:rsidP="00E85133">
      <w:pPr>
        <w:pStyle w:val="EPMNumberedHeading"/>
      </w:pPr>
      <w:bookmarkStart w:id="4" w:name="_Toc55832564"/>
      <w:r w:rsidRPr="00581D3D">
        <w:t xml:space="preserve">Determination of the </w:t>
      </w:r>
      <w:r>
        <w:t>S</w:t>
      </w:r>
      <w:r w:rsidRPr="00581D3D">
        <w:t xml:space="preserve">chool’s </w:t>
      </w:r>
      <w:r>
        <w:t>H</w:t>
      </w:r>
      <w:r w:rsidRPr="00581D3D">
        <w:t xml:space="preserve">eadteacher </w:t>
      </w:r>
      <w:r>
        <w:t>G</w:t>
      </w:r>
      <w:r w:rsidRPr="00581D3D">
        <w:t>roup</w:t>
      </w:r>
      <w:bookmarkEnd w:id="4"/>
      <w:r w:rsidRPr="00581D3D">
        <w:t xml:space="preserve"> </w:t>
      </w:r>
    </w:p>
    <w:p w14:paraId="674C42F0" w14:textId="77777777" w:rsidR="00935A20" w:rsidRPr="00A265B5" w:rsidRDefault="00935A20" w:rsidP="00DF3C25">
      <w:pPr>
        <w:pStyle w:val="EPMNumberedSubheading"/>
        <w:ind w:left="1134"/>
        <w:jc w:val="both"/>
        <w:rPr>
          <w:rFonts w:ascii="Avenir Next LT Pro Light" w:hAnsi="Avenir Next LT Pro Light"/>
          <w:sz w:val="21"/>
          <w:szCs w:val="21"/>
        </w:rPr>
      </w:pPr>
      <w:r w:rsidRPr="00A265B5">
        <w:rPr>
          <w:rFonts w:ascii="Avenir Next LT Pro Light" w:hAnsi="Avenir Next LT Pro Light"/>
          <w:sz w:val="21"/>
          <w:szCs w:val="21"/>
        </w:rPr>
        <w:t xml:space="preserve">The relevant body must assign its school to a headteacher group for the purposes of paragraphs 9 and 11 in accordance with this paragraph and paragraphs 6, 7, 8 and 9. </w:t>
      </w:r>
    </w:p>
    <w:p w14:paraId="73B0DB0F" w14:textId="77777777" w:rsidR="00935A20" w:rsidRPr="00A265B5" w:rsidRDefault="00935A20" w:rsidP="00DF3C25">
      <w:pPr>
        <w:pStyle w:val="EPMNumberedSubheading"/>
        <w:ind w:left="1134"/>
        <w:jc w:val="both"/>
        <w:rPr>
          <w:rFonts w:ascii="Avenir Next LT Pro Light" w:hAnsi="Avenir Next LT Pro Light"/>
          <w:sz w:val="21"/>
          <w:szCs w:val="21"/>
        </w:rPr>
      </w:pPr>
      <w:r w:rsidRPr="00A265B5">
        <w:rPr>
          <w:rFonts w:ascii="Avenir Next LT Pro Light" w:hAnsi="Avenir Next LT Pro Light"/>
          <w:sz w:val="21"/>
          <w:szCs w:val="21"/>
        </w:rPr>
        <w:t xml:space="preserve">A school must be assigned to a headteacher group whenever the relevant body sees fit. </w:t>
      </w:r>
    </w:p>
    <w:p w14:paraId="62D0C18A" w14:textId="77777777" w:rsidR="00935A20" w:rsidRPr="00A265B5" w:rsidRDefault="00935A20" w:rsidP="00DF3C25">
      <w:pPr>
        <w:pStyle w:val="EPMNumberedSubheading"/>
        <w:ind w:left="1134"/>
        <w:jc w:val="both"/>
        <w:rPr>
          <w:rFonts w:ascii="Avenir Next LT Pro Light" w:hAnsi="Avenir Next LT Pro Light"/>
          <w:sz w:val="21"/>
          <w:szCs w:val="21"/>
        </w:rPr>
      </w:pPr>
      <w:r w:rsidRPr="00A265B5">
        <w:rPr>
          <w:rFonts w:ascii="Avenir Next LT Pro Light" w:hAnsi="Avenir Next LT Pro Light"/>
          <w:sz w:val="21"/>
          <w:szCs w:val="21"/>
        </w:rPr>
        <w:t>The Headteacher groups, and pay ranges in relation thereto, are as follows:</w:t>
      </w:r>
    </w:p>
    <w:tbl>
      <w:tblPr>
        <w:tblStyle w:val="EPMTableStyle"/>
        <w:tblW w:w="9514" w:type="dxa"/>
        <w:tblInd w:w="709" w:type="dxa"/>
        <w:tblLook w:val="04A0" w:firstRow="1" w:lastRow="0" w:firstColumn="1" w:lastColumn="0" w:noHBand="0" w:noVBand="1"/>
      </w:tblPr>
      <w:tblGrid>
        <w:gridCol w:w="1471"/>
        <w:gridCol w:w="2025"/>
        <w:gridCol w:w="1998"/>
        <w:gridCol w:w="1980"/>
        <w:gridCol w:w="2040"/>
      </w:tblGrid>
      <w:tr w:rsidR="00F5721F" w14:paraId="769E141A" w14:textId="77777777" w:rsidTr="009D22B7">
        <w:trPr>
          <w:cnfStyle w:val="100000000000" w:firstRow="1" w:lastRow="0" w:firstColumn="0" w:lastColumn="0" w:oddVBand="0" w:evenVBand="0" w:oddHBand="0" w:evenHBand="0" w:firstRowFirstColumn="0" w:firstRowLastColumn="0" w:lastRowFirstColumn="0" w:lastRowLastColumn="0"/>
        </w:trPr>
        <w:tc>
          <w:tcPr>
            <w:tcW w:w="1471" w:type="dxa"/>
          </w:tcPr>
          <w:p w14:paraId="7D9DA4F8" w14:textId="11F56784" w:rsidR="00935A20" w:rsidRPr="00F5721F" w:rsidRDefault="00B15EBD" w:rsidP="00B15EBD">
            <w:pPr>
              <w:pStyle w:val="TableHeader"/>
              <w:spacing w:before="120" w:after="120" w:line="240" w:lineRule="auto"/>
              <w:jc w:val="center"/>
              <w:rPr>
                <w:rFonts w:ascii="Avenir Next LT Pro Light" w:hAnsi="Avenir Next LT Pro Light"/>
                <w:sz w:val="21"/>
                <w:szCs w:val="21"/>
              </w:rPr>
            </w:pPr>
            <w:r w:rsidRPr="000E12F7">
              <w:rPr>
                <w:rFonts w:ascii="Avenir Next LT Pro Demi" w:hAnsi="Avenir Next LT Pro Demi" w:cstheme="minorHAnsi"/>
                <w:sz w:val="21"/>
                <w:szCs w:val="21"/>
              </w:rPr>
              <w:t>Headteacher Group</w:t>
            </w:r>
          </w:p>
        </w:tc>
        <w:tc>
          <w:tcPr>
            <w:tcW w:w="2025" w:type="dxa"/>
          </w:tcPr>
          <w:p w14:paraId="4C2DE987" w14:textId="7E7756EA"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 xml:space="preserve">England and Wales </w:t>
            </w:r>
            <w:r w:rsidRPr="005F6A48">
              <w:rPr>
                <w:rFonts w:ascii="Avenir Next LT Pro Demi" w:hAnsi="Avenir Next LT Pro Demi" w:cstheme="minorHAnsi"/>
                <w:sz w:val="21"/>
                <w:szCs w:val="21"/>
              </w:rPr>
              <w:br/>
              <w:t>(excluding the London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c>
          <w:tcPr>
            <w:tcW w:w="1998" w:type="dxa"/>
          </w:tcPr>
          <w:p w14:paraId="6B9500C3" w14:textId="666AC830"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Inner London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c>
          <w:tcPr>
            <w:tcW w:w="1980" w:type="dxa"/>
          </w:tcPr>
          <w:p w14:paraId="34E1234D" w14:textId="3A8310C8"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Outer London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c>
          <w:tcPr>
            <w:tcW w:w="2040" w:type="dxa"/>
          </w:tcPr>
          <w:p w14:paraId="691C1D54" w14:textId="7C8FBC86"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Fringe Area</w:t>
            </w:r>
            <w:r w:rsidR="00E85133" w:rsidRPr="005F6A48">
              <w:rPr>
                <w:rFonts w:ascii="Avenir Next LT Pro Demi" w:hAnsi="Avenir Next LT Pro Demi" w:cstheme="minorHAnsi"/>
                <w:sz w:val="21"/>
                <w:szCs w:val="21"/>
              </w:rPr>
              <w:br/>
            </w:r>
            <w:r w:rsidRPr="005F6A48">
              <w:rPr>
                <w:rFonts w:ascii="Avenir Next LT Pro Demi" w:hAnsi="Avenir Next LT Pro Demi" w:cstheme="minorHAnsi"/>
                <w:sz w:val="21"/>
                <w:szCs w:val="21"/>
              </w:rPr>
              <w:t>(£)</w:t>
            </w:r>
          </w:p>
        </w:tc>
      </w:tr>
      <w:tr w:rsidR="00601D56" w14:paraId="56B50083" w14:textId="77777777" w:rsidTr="0759C439">
        <w:tc>
          <w:tcPr>
            <w:tcW w:w="1471" w:type="dxa"/>
          </w:tcPr>
          <w:p w14:paraId="29761B90"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1</w:t>
            </w:r>
          </w:p>
        </w:tc>
        <w:tc>
          <w:tcPr>
            <w:tcW w:w="2025" w:type="dxa"/>
          </w:tcPr>
          <w:p w14:paraId="330C2F5E" w14:textId="251161F4" w:rsidR="00601D56" w:rsidRPr="00905F11" w:rsidRDefault="3730EA45" w:rsidP="0759C439">
            <w:pPr>
              <w:jc w:val="center"/>
              <w:rPr>
                <w:rFonts w:ascii="Avenir Next LT Pro Light" w:hAnsi="Avenir Next LT Pro Light"/>
                <w:b w:val="0"/>
                <w:sz w:val="21"/>
                <w:szCs w:val="21"/>
              </w:rPr>
            </w:pPr>
            <w:r w:rsidRPr="0759C439">
              <w:rPr>
                <w:rFonts w:ascii="Avenir Next LT Pro" w:hAnsi="Avenir Next LT Pro"/>
                <w:b w:val="0"/>
                <w:sz w:val="21"/>
                <w:szCs w:val="21"/>
              </w:rPr>
              <w:t xml:space="preserve">58,569 - 77,924 </w:t>
            </w:r>
          </w:p>
        </w:tc>
        <w:tc>
          <w:tcPr>
            <w:tcW w:w="1998" w:type="dxa"/>
          </w:tcPr>
          <w:p w14:paraId="7581EAA2" w14:textId="61576642"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68,361 - 87,619</w:t>
            </w:r>
          </w:p>
        </w:tc>
        <w:tc>
          <w:tcPr>
            <w:tcW w:w="1980" w:type="dxa"/>
          </w:tcPr>
          <w:p w14:paraId="14133F9E" w14:textId="649CF23A"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62,677 - 81,995</w:t>
            </w:r>
          </w:p>
        </w:tc>
        <w:tc>
          <w:tcPr>
            <w:tcW w:w="2040" w:type="dxa"/>
          </w:tcPr>
          <w:p w14:paraId="417C4021" w14:textId="150EAA85"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60,001 - 79,341</w:t>
            </w:r>
          </w:p>
        </w:tc>
      </w:tr>
      <w:tr w:rsidR="00601D56" w14:paraId="2DE322EC" w14:textId="77777777" w:rsidTr="0759C439">
        <w:trPr>
          <w:cnfStyle w:val="000000010000" w:firstRow="0" w:lastRow="0" w:firstColumn="0" w:lastColumn="0" w:oddVBand="0" w:evenVBand="0" w:oddHBand="0" w:evenHBand="1" w:firstRowFirstColumn="0" w:firstRowLastColumn="0" w:lastRowFirstColumn="0" w:lastRowLastColumn="0"/>
        </w:trPr>
        <w:tc>
          <w:tcPr>
            <w:tcW w:w="1471" w:type="dxa"/>
            <w:shd w:val="clear" w:color="auto" w:fill="auto"/>
          </w:tcPr>
          <w:p w14:paraId="78E18936" w14:textId="77777777" w:rsidR="00601D56" w:rsidRPr="00DF3C25" w:rsidRDefault="00601D56" w:rsidP="00601D56">
            <w:pPr>
              <w:rPr>
                <w:rFonts w:ascii="Avenir Next Demi Bold" w:hAnsi="Avenir Next Demi Bold"/>
                <w:b w:val="0"/>
                <w:bCs/>
                <w:color w:val="A31457"/>
                <w:sz w:val="21"/>
                <w:szCs w:val="21"/>
              </w:rPr>
            </w:pPr>
            <w:r w:rsidRPr="001D2E07">
              <w:rPr>
                <w:rFonts w:ascii="Avenir Next Demi Bold" w:hAnsi="Avenir Next Demi Bold"/>
                <w:b w:val="0"/>
                <w:bCs/>
                <w:color w:val="A31457"/>
                <w:sz w:val="21"/>
                <w:szCs w:val="21"/>
              </w:rPr>
              <w:t>Group</w:t>
            </w:r>
            <w:r w:rsidRPr="00DF3C25">
              <w:rPr>
                <w:rFonts w:ascii="Avenir Next Demi Bold" w:hAnsi="Avenir Next Demi Bold"/>
                <w:b w:val="0"/>
                <w:bCs/>
                <w:color w:val="A31457"/>
                <w:sz w:val="21"/>
                <w:szCs w:val="21"/>
              </w:rPr>
              <w:t xml:space="preserve"> 2</w:t>
            </w:r>
          </w:p>
        </w:tc>
        <w:tc>
          <w:tcPr>
            <w:tcW w:w="2025" w:type="dxa"/>
            <w:shd w:val="clear" w:color="auto" w:fill="auto"/>
          </w:tcPr>
          <w:p w14:paraId="7F59E4D5" w14:textId="610D754A" w:rsidR="00601D56" w:rsidRPr="00905F11" w:rsidRDefault="3730EA45" w:rsidP="0759C439">
            <w:pPr>
              <w:jc w:val="center"/>
              <w:rPr>
                <w:rFonts w:ascii="Avenir Next LT Pro Light" w:hAnsi="Avenir Next LT Pro Light"/>
                <w:b w:val="0"/>
                <w:sz w:val="21"/>
                <w:szCs w:val="21"/>
              </w:rPr>
            </w:pPr>
            <w:r w:rsidRPr="0759C439">
              <w:rPr>
                <w:rFonts w:ascii="Avenir Next LT Pro" w:hAnsi="Avenir Next LT Pro"/>
                <w:b w:val="0"/>
                <w:sz w:val="21"/>
                <w:szCs w:val="21"/>
              </w:rPr>
              <w:t>61,534 - 83,860</w:t>
            </w:r>
          </w:p>
        </w:tc>
        <w:tc>
          <w:tcPr>
            <w:tcW w:w="1998" w:type="dxa"/>
            <w:shd w:val="clear" w:color="auto" w:fill="auto"/>
          </w:tcPr>
          <w:p w14:paraId="36ACC846" w14:textId="146D65F1"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71,327 - 93,556</w:t>
            </w:r>
          </w:p>
        </w:tc>
        <w:tc>
          <w:tcPr>
            <w:tcW w:w="1980" w:type="dxa"/>
            <w:shd w:val="clear" w:color="auto" w:fill="auto"/>
          </w:tcPr>
          <w:p w14:paraId="1D8BF9E0" w14:textId="67474A0B"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65,642 - 87,932</w:t>
            </w:r>
          </w:p>
        </w:tc>
        <w:tc>
          <w:tcPr>
            <w:tcW w:w="2040" w:type="dxa"/>
            <w:shd w:val="clear" w:color="auto" w:fill="auto"/>
          </w:tcPr>
          <w:p w14:paraId="1DFDD50D" w14:textId="08921621"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62,962 - 85,287</w:t>
            </w:r>
          </w:p>
        </w:tc>
      </w:tr>
      <w:tr w:rsidR="00601D56" w14:paraId="65A13593" w14:textId="77777777" w:rsidTr="0759C439">
        <w:tc>
          <w:tcPr>
            <w:tcW w:w="1471" w:type="dxa"/>
          </w:tcPr>
          <w:p w14:paraId="7DBF9158"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3</w:t>
            </w:r>
          </w:p>
        </w:tc>
        <w:tc>
          <w:tcPr>
            <w:tcW w:w="2025" w:type="dxa"/>
          </w:tcPr>
          <w:p w14:paraId="3937E677" w14:textId="4314316F" w:rsidR="00601D56" w:rsidRPr="00905F11" w:rsidRDefault="3730EA45" w:rsidP="0759C439">
            <w:pPr>
              <w:jc w:val="center"/>
              <w:rPr>
                <w:rFonts w:ascii="Avenir Next LT Pro Light" w:hAnsi="Avenir Next LT Pro Light"/>
                <w:b w:val="0"/>
                <w:sz w:val="21"/>
                <w:szCs w:val="21"/>
              </w:rPr>
            </w:pPr>
            <w:r w:rsidRPr="0759C439">
              <w:rPr>
                <w:rFonts w:ascii="Avenir Next LT Pro" w:hAnsi="Avenir Next LT Pro"/>
                <w:b w:val="0"/>
                <w:sz w:val="21"/>
                <w:szCs w:val="21"/>
              </w:rPr>
              <w:t xml:space="preserve">66,368 - 90,255 </w:t>
            </w:r>
          </w:p>
        </w:tc>
        <w:tc>
          <w:tcPr>
            <w:tcW w:w="1998" w:type="dxa"/>
          </w:tcPr>
          <w:p w14:paraId="309122B2" w14:textId="37D32687"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76,154 - 99,951</w:t>
            </w:r>
          </w:p>
        </w:tc>
        <w:tc>
          <w:tcPr>
            <w:tcW w:w="1980" w:type="dxa"/>
          </w:tcPr>
          <w:p w14:paraId="4AECDABC" w14:textId="71DF1FD0"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70,473 - 94,322</w:t>
            </w:r>
          </w:p>
        </w:tc>
        <w:tc>
          <w:tcPr>
            <w:tcW w:w="2040" w:type="dxa"/>
          </w:tcPr>
          <w:p w14:paraId="7B90307D" w14:textId="4A0959C7"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67,796 - 91,676</w:t>
            </w:r>
          </w:p>
        </w:tc>
      </w:tr>
      <w:tr w:rsidR="00601D56" w14:paraId="48F14F87" w14:textId="77777777" w:rsidTr="0759C439">
        <w:trPr>
          <w:cnfStyle w:val="000000010000" w:firstRow="0" w:lastRow="0" w:firstColumn="0" w:lastColumn="0" w:oddVBand="0" w:evenVBand="0" w:oddHBand="0" w:evenHBand="1" w:firstRowFirstColumn="0" w:firstRowLastColumn="0" w:lastRowFirstColumn="0" w:lastRowLastColumn="0"/>
        </w:trPr>
        <w:tc>
          <w:tcPr>
            <w:tcW w:w="1471" w:type="dxa"/>
            <w:shd w:val="clear" w:color="auto" w:fill="auto"/>
          </w:tcPr>
          <w:p w14:paraId="74914681"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4</w:t>
            </w:r>
          </w:p>
        </w:tc>
        <w:tc>
          <w:tcPr>
            <w:tcW w:w="2025" w:type="dxa"/>
            <w:shd w:val="clear" w:color="auto" w:fill="auto"/>
          </w:tcPr>
          <w:p w14:paraId="044AB79B" w14:textId="08D92FC5" w:rsidR="00601D56" w:rsidRPr="00905F11" w:rsidRDefault="3730EA45" w:rsidP="0759C439">
            <w:pPr>
              <w:jc w:val="center"/>
              <w:rPr>
                <w:rFonts w:ascii="Avenir Next LT Pro Light" w:hAnsi="Avenir Next LT Pro Light"/>
                <w:b w:val="0"/>
                <w:sz w:val="21"/>
                <w:szCs w:val="21"/>
              </w:rPr>
            </w:pPr>
            <w:r w:rsidRPr="0759C439">
              <w:rPr>
                <w:rFonts w:ascii="Avenir Next LT Pro" w:hAnsi="Avenir Next LT Pro"/>
                <w:b w:val="0"/>
                <w:sz w:val="21"/>
                <w:szCs w:val="21"/>
              </w:rPr>
              <w:t xml:space="preserve">71,330 - 97,136 </w:t>
            </w:r>
          </w:p>
        </w:tc>
        <w:tc>
          <w:tcPr>
            <w:tcW w:w="1998" w:type="dxa"/>
            <w:shd w:val="clear" w:color="auto" w:fill="auto"/>
          </w:tcPr>
          <w:p w14:paraId="417268C9" w14:textId="06EC39C4"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81,120 - 106,823</w:t>
            </w:r>
          </w:p>
        </w:tc>
        <w:tc>
          <w:tcPr>
            <w:tcW w:w="1980" w:type="dxa"/>
            <w:shd w:val="clear" w:color="auto" w:fill="auto"/>
          </w:tcPr>
          <w:p w14:paraId="5D2AB8B1" w14:textId="33238F72" w:rsidR="00601D56" w:rsidRPr="00905F11" w:rsidRDefault="00601D56" w:rsidP="77A1DB2B">
            <w:pPr>
              <w:rPr>
                <w:rFonts w:ascii="Avenir Next LT Pro Light" w:hAnsi="Avenir Next LT Pro Light"/>
                <w:b w:val="0"/>
                <w:sz w:val="21"/>
                <w:szCs w:val="21"/>
              </w:rPr>
            </w:pPr>
            <w:r w:rsidRPr="77A1DB2B">
              <w:rPr>
                <w:rFonts w:ascii="Avenir Next LT Pro" w:hAnsi="Avenir Next LT Pro"/>
                <w:b w:val="0"/>
                <w:sz w:val="21"/>
                <w:szCs w:val="21"/>
              </w:rPr>
              <w:t xml:space="preserve">75,433 - </w:t>
            </w:r>
            <w:r w:rsidR="00AC7C0B" w:rsidRPr="77A1DB2B">
              <w:rPr>
                <w:rFonts w:ascii="Avenir Next LT Pro" w:hAnsi="Avenir Next LT Pro"/>
                <w:b w:val="0"/>
                <w:sz w:val="21"/>
                <w:szCs w:val="21"/>
              </w:rPr>
              <w:t>1</w:t>
            </w:r>
            <w:r w:rsidRPr="77A1DB2B">
              <w:rPr>
                <w:rFonts w:ascii="Avenir Next LT Pro" w:hAnsi="Avenir Next LT Pro"/>
                <w:b w:val="0"/>
                <w:sz w:val="21"/>
                <w:szCs w:val="21"/>
              </w:rPr>
              <w:t>01,200</w:t>
            </w:r>
          </w:p>
        </w:tc>
        <w:tc>
          <w:tcPr>
            <w:tcW w:w="2040" w:type="dxa"/>
            <w:shd w:val="clear" w:color="auto" w:fill="auto"/>
          </w:tcPr>
          <w:p w14:paraId="4AFC37B1" w14:textId="5090153E"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72,763 - 98,549</w:t>
            </w:r>
          </w:p>
        </w:tc>
      </w:tr>
      <w:tr w:rsidR="00601D56" w14:paraId="702E7739" w14:textId="77777777" w:rsidTr="0759C439">
        <w:tc>
          <w:tcPr>
            <w:tcW w:w="1471" w:type="dxa"/>
          </w:tcPr>
          <w:p w14:paraId="6C84B9CB"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5</w:t>
            </w:r>
          </w:p>
        </w:tc>
        <w:tc>
          <w:tcPr>
            <w:tcW w:w="2025" w:type="dxa"/>
          </w:tcPr>
          <w:p w14:paraId="3AD89316" w14:textId="0810C799"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 xml:space="preserve">78,702 - 107,131 </w:t>
            </w:r>
          </w:p>
        </w:tc>
        <w:tc>
          <w:tcPr>
            <w:tcW w:w="1998" w:type="dxa"/>
          </w:tcPr>
          <w:p w14:paraId="218F9407" w14:textId="71CA0F72"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88,496 - 116,827</w:t>
            </w:r>
          </w:p>
        </w:tc>
        <w:tc>
          <w:tcPr>
            <w:tcW w:w="1980" w:type="dxa"/>
          </w:tcPr>
          <w:p w14:paraId="1C2E8CA3" w14:textId="5747751B" w:rsidR="00601D56" w:rsidRPr="00905F11" w:rsidRDefault="00601D56" w:rsidP="77A1DB2B">
            <w:pPr>
              <w:rPr>
                <w:rFonts w:ascii="Avenir Next LT Pro Light" w:hAnsi="Avenir Next LT Pro Light"/>
                <w:b w:val="0"/>
                <w:sz w:val="21"/>
                <w:szCs w:val="21"/>
              </w:rPr>
            </w:pPr>
            <w:r w:rsidRPr="77A1DB2B">
              <w:rPr>
                <w:rFonts w:ascii="Avenir Next LT Pro" w:hAnsi="Avenir Next LT Pro"/>
                <w:b w:val="0"/>
                <w:sz w:val="21"/>
                <w:szCs w:val="21"/>
              </w:rPr>
              <w:t xml:space="preserve">82,816 - </w:t>
            </w:r>
            <w:r w:rsidR="00AC7C0B" w:rsidRPr="77A1DB2B">
              <w:rPr>
                <w:rFonts w:ascii="Avenir Next LT Pro" w:hAnsi="Avenir Next LT Pro"/>
                <w:b w:val="0"/>
                <w:sz w:val="21"/>
                <w:szCs w:val="21"/>
              </w:rPr>
              <w:t>1</w:t>
            </w:r>
            <w:r w:rsidRPr="77A1DB2B">
              <w:rPr>
                <w:rFonts w:ascii="Avenir Next LT Pro" w:hAnsi="Avenir Next LT Pro"/>
                <w:b w:val="0"/>
                <w:sz w:val="21"/>
                <w:szCs w:val="21"/>
              </w:rPr>
              <w:t>11,202</w:t>
            </w:r>
          </w:p>
        </w:tc>
        <w:tc>
          <w:tcPr>
            <w:tcW w:w="2040" w:type="dxa"/>
          </w:tcPr>
          <w:p w14:paraId="40D6169E" w14:textId="143D1857"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80,134 - 108,553</w:t>
            </w:r>
          </w:p>
        </w:tc>
      </w:tr>
      <w:tr w:rsidR="00601D56" w14:paraId="5FC915B0" w14:textId="77777777" w:rsidTr="0759C439">
        <w:trPr>
          <w:cnfStyle w:val="000000010000" w:firstRow="0" w:lastRow="0" w:firstColumn="0" w:lastColumn="0" w:oddVBand="0" w:evenVBand="0" w:oddHBand="0" w:evenHBand="1" w:firstRowFirstColumn="0" w:firstRowLastColumn="0" w:lastRowFirstColumn="0" w:lastRowLastColumn="0"/>
        </w:trPr>
        <w:tc>
          <w:tcPr>
            <w:tcW w:w="1471" w:type="dxa"/>
            <w:shd w:val="clear" w:color="auto" w:fill="auto"/>
          </w:tcPr>
          <w:p w14:paraId="41A0BF04"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6</w:t>
            </w:r>
          </w:p>
        </w:tc>
        <w:tc>
          <w:tcPr>
            <w:tcW w:w="2025" w:type="dxa"/>
            <w:shd w:val="clear" w:color="auto" w:fill="auto"/>
          </w:tcPr>
          <w:p w14:paraId="4ECCD94A" w14:textId="2D582A98"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 xml:space="preserve">84,699 - 118,169 </w:t>
            </w:r>
          </w:p>
        </w:tc>
        <w:tc>
          <w:tcPr>
            <w:tcW w:w="1998" w:type="dxa"/>
            <w:shd w:val="clear" w:color="auto" w:fill="auto"/>
          </w:tcPr>
          <w:p w14:paraId="23B8C7BF" w14:textId="45D72281"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94,491 - 127,863</w:t>
            </w:r>
          </w:p>
        </w:tc>
        <w:tc>
          <w:tcPr>
            <w:tcW w:w="1980" w:type="dxa"/>
            <w:shd w:val="clear" w:color="auto" w:fill="auto"/>
          </w:tcPr>
          <w:p w14:paraId="02D3B864" w14:textId="21F93AF1" w:rsidR="00601D56" w:rsidRPr="00905F11" w:rsidRDefault="00601D56" w:rsidP="77A1DB2B">
            <w:pPr>
              <w:rPr>
                <w:rFonts w:ascii="Avenir Next LT Pro Light" w:hAnsi="Avenir Next LT Pro Light"/>
                <w:b w:val="0"/>
                <w:sz w:val="21"/>
                <w:szCs w:val="21"/>
              </w:rPr>
            </w:pPr>
            <w:r w:rsidRPr="77A1DB2B">
              <w:rPr>
                <w:rFonts w:ascii="Avenir Next LT Pro" w:hAnsi="Avenir Next LT Pro"/>
                <w:b w:val="0"/>
                <w:sz w:val="21"/>
                <w:szCs w:val="21"/>
              </w:rPr>
              <w:t xml:space="preserve">88,812 - </w:t>
            </w:r>
            <w:r w:rsidR="00B25B23" w:rsidRPr="77A1DB2B">
              <w:rPr>
                <w:rFonts w:ascii="Avenir Next LT Pro" w:hAnsi="Avenir Next LT Pro"/>
                <w:b w:val="0"/>
                <w:sz w:val="21"/>
                <w:szCs w:val="21"/>
              </w:rPr>
              <w:t>1</w:t>
            </w:r>
            <w:r w:rsidRPr="77A1DB2B">
              <w:rPr>
                <w:rFonts w:ascii="Avenir Next LT Pro" w:hAnsi="Avenir Next LT Pro"/>
                <w:b w:val="0"/>
                <w:sz w:val="21"/>
                <w:szCs w:val="21"/>
              </w:rPr>
              <w:t>22,236</w:t>
            </w:r>
          </w:p>
        </w:tc>
        <w:tc>
          <w:tcPr>
            <w:tcW w:w="2040" w:type="dxa"/>
            <w:shd w:val="clear" w:color="auto" w:fill="auto"/>
          </w:tcPr>
          <w:p w14:paraId="0F558B2E" w14:textId="1F0FDCFB"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86,138 - 119,590</w:t>
            </w:r>
          </w:p>
        </w:tc>
      </w:tr>
      <w:tr w:rsidR="00601D56" w14:paraId="6A40851E" w14:textId="77777777" w:rsidTr="0759C439">
        <w:tc>
          <w:tcPr>
            <w:tcW w:w="1471" w:type="dxa"/>
          </w:tcPr>
          <w:p w14:paraId="4051F7B3"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7</w:t>
            </w:r>
          </w:p>
        </w:tc>
        <w:tc>
          <w:tcPr>
            <w:tcW w:w="2025" w:type="dxa"/>
          </w:tcPr>
          <w:p w14:paraId="2398640C" w14:textId="6908D907" w:rsidR="00601D56" w:rsidRPr="00905F11" w:rsidRDefault="3730EA45" w:rsidP="0759C439">
            <w:pPr>
              <w:jc w:val="center"/>
              <w:rPr>
                <w:rFonts w:ascii="Avenir Next LT Pro Light" w:hAnsi="Avenir Next LT Pro Light"/>
                <w:b w:val="0"/>
                <w:sz w:val="21"/>
                <w:szCs w:val="21"/>
              </w:rPr>
            </w:pPr>
            <w:r w:rsidRPr="0759C439">
              <w:rPr>
                <w:rFonts w:ascii="Avenir Next LT Pro" w:hAnsi="Avenir Next LT Pro"/>
                <w:b w:val="0"/>
                <w:sz w:val="21"/>
                <w:szCs w:val="21"/>
              </w:rPr>
              <w:t xml:space="preserve">91,158 -130,274 </w:t>
            </w:r>
          </w:p>
        </w:tc>
        <w:tc>
          <w:tcPr>
            <w:tcW w:w="1998" w:type="dxa"/>
          </w:tcPr>
          <w:p w14:paraId="2842E7EB" w14:textId="73D8AE96" w:rsidR="00601D56" w:rsidRPr="00905F11" w:rsidRDefault="3730EA45" w:rsidP="77A1DB2B">
            <w:pPr>
              <w:jc w:val="center"/>
              <w:rPr>
                <w:rFonts w:ascii="Avenir Next LT Pro Light" w:hAnsi="Avenir Next LT Pro Light"/>
                <w:b w:val="0"/>
                <w:sz w:val="21"/>
                <w:szCs w:val="21"/>
              </w:rPr>
            </w:pPr>
            <w:r w:rsidRPr="0759C439">
              <w:rPr>
                <w:rFonts w:ascii="Avenir Next LT Pro" w:hAnsi="Avenir Next LT Pro"/>
                <w:b w:val="0"/>
                <w:sz w:val="21"/>
                <w:szCs w:val="21"/>
              </w:rPr>
              <w:t>100,951 -</w:t>
            </w:r>
            <w:r w:rsidR="0407ED21" w:rsidRPr="0759C439">
              <w:rPr>
                <w:rFonts w:ascii="Avenir Next LT Pro" w:hAnsi="Avenir Next LT Pro"/>
                <w:b w:val="0"/>
                <w:sz w:val="21"/>
                <w:szCs w:val="21"/>
              </w:rPr>
              <w:t>1</w:t>
            </w:r>
            <w:r w:rsidRPr="0759C439">
              <w:rPr>
                <w:rFonts w:ascii="Avenir Next LT Pro" w:hAnsi="Avenir Next LT Pro"/>
                <w:b w:val="0"/>
                <w:sz w:val="21"/>
                <w:szCs w:val="21"/>
              </w:rPr>
              <w:t>39,965</w:t>
            </w:r>
          </w:p>
        </w:tc>
        <w:tc>
          <w:tcPr>
            <w:tcW w:w="1980" w:type="dxa"/>
          </w:tcPr>
          <w:p w14:paraId="29C7E7C2" w14:textId="14C810D1" w:rsidR="00601D56" w:rsidRPr="00905F11" w:rsidRDefault="00601D56" w:rsidP="77A1DB2B">
            <w:pPr>
              <w:rPr>
                <w:rFonts w:ascii="Avenir Next LT Pro Light" w:hAnsi="Avenir Next LT Pro Light"/>
                <w:b w:val="0"/>
                <w:sz w:val="21"/>
                <w:szCs w:val="21"/>
              </w:rPr>
            </w:pPr>
            <w:r w:rsidRPr="77A1DB2B">
              <w:rPr>
                <w:rFonts w:ascii="Avenir Next LT Pro" w:hAnsi="Avenir Next LT Pro"/>
                <w:b w:val="0"/>
                <w:sz w:val="21"/>
                <w:szCs w:val="21"/>
              </w:rPr>
              <w:t xml:space="preserve">95,267 - </w:t>
            </w:r>
            <w:r w:rsidR="00B25B23" w:rsidRPr="77A1DB2B">
              <w:rPr>
                <w:rFonts w:ascii="Avenir Next LT Pro" w:hAnsi="Avenir Next LT Pro"/>
                <w:b w:val="0"/>
                <w:sz w:val="21"/>
                <w:szCs w:val="21"/>
              </w:rPr>
              <w:t>1</w:t>
            </w:r>
            <w:r w:rsidRPr="77A1DB2B">
              <w:rPr>
                <w:rFonts w:ascii="Avenir Next LT Pro" w:hAnsi="Avenir Next LT Pro"/>
                <w:b w:val="0"/>
                <w:sz w:val="21"/>
                <w:szCs w:val="21"/>
              </w:rPr>
              <w:t>34,339</w:t>
            </w:r>
          </w:p>
        </w:tc>
        <w:tc>
          <w:tcPr>
            <w:tcW w:w="2040" w:type="dxa"/>
          </w:tcPr>
          <w:p w14:paraId="7512B898" w14:textId="55094F80" w:rsidR="00601D56" w:rsidRPr="00905F11" w:rsidRDefault="00601D56" w:rsidP="00601D56">
            <w:pPr>
              <w:jc w:val="center"/>
              <w:rPr>
                <w:rFonts w:ascii="Avenir Next LT Pro Light" w:hAnsi="Avenir Next LT Pro Light"/>
                <w:b w:val="0"/>
                <w:bCs/>
                <w:sz w:val="21"/>
                <w:szCs w:val="21"/>
              </w:rPr>
            </w:pPr>
            <w:r w:rsidRPr="00C7603E">
              <w:rPr>
                <w:rFonts w:ascii="Avenir Next LT Pro" w:hAnsi="Avenir Next LT Pro"/>
                <w:b w:val="0"/>
                <w:bCs/>
                <w:sz w:val="21"/>
                <w:szCs w:val="21"/>
              </w:rPr>
              <w:t>92,595 - 131,688</w:t>
            </w:r>
          </w:p>
        </w:tc>
      </w:tr>
      <w:tr w:rsidR="00601D56" w14:paraId="2F52E394" w14:textId="77777777" w:rsidTr="0759C439">
        <w:trPr>
          <w:cnfStyle w:val="000000010000" w:firstRow="0" w:lastRow="0" w:firstColumn="0" w:lastColumn="0" w:oddVBand="0" w:evenVBand="0" w:oddHBand="0" w:evenHBand="1" w:firstRowFirstColumn="0" w:firstRowLastColumn="0" w:lastRowFirstColumn="0" w:lastRowLastColumn="0"/>
        </w:trPr>
        <w:tc>
          <w:tcPr>
            <w:tcW w:w="1471" w:type="dxa"/>
            <w:shd w:val="clear" w:color="auto" w:fill="auto"/>
          </w:tcPr>
          <w:p w14:paraId="483FD14D" w14:textId="77777777" w:rsidR="00601D56" w:rsidRPr="00DF3C25" w:rsidRDefault="00601D56" w:rsidP="00601D56">
            <w:pPr>
              <w:rPr>
                <w:rFonts w:ascii="Avenir Next Demi Bold" w:hAnsi="Avenir Next Demi Bold"/>
                <w:b w:val="0"/>
                <w:bCs/>
                <w:color w:val="A31457"/>
                <w:sz w:val="21"/>
                <w:szCs w:val="21"/>
              </w:rPr>
            </w:pPr>
            <w:r w:rsidRPr="00DF3C25">
              <w:rPr>
                <w:rFonts w:ascii="Avenir Next Demi Bold" w:hAnsi="Avenir Next Demi Bold"/>
                <w:b w:val="0"/>
                <w:bCs/>
                <w:color w:val="A31457"/>
                <w:sz w:val="21"/>
                <w:szCs w:val="21"/>
              </w:rPr>
              <w:t>Group 8</w:t>
            </w:r>
          </w:p>
        </w:tc>
        <w:tc>
          <w:tcPr>
            <w:tcW w:w="2025" w:type="dxa"/>
            <w:shd w:val="clear" w:color="auto" w:fill="auto"/>
          </w:tcPr>
          <w:p w14:paraId="534D450C" w14:textId="034DD0A2" w:rsidR="00601D56" w:rsidRPr="00905F11" w:rsidRDefault="3730EA45" w:rsidP="77A1DB2B">
            <w:pPr>
              <w:jc w:val="center"/>
              <w:rPr>
                <w:rFonts w:ascii="Avenir Next LT Pro Light" w:hAnsi="Avenir Next LT Pro Light"/>
                <w:b w:val="0"/>
                <w:sz w:val="21"/>
                <w:szCs w:val="21"/>
              </w:rPr>
            </w:pPr>
            <w:r w:rsidRPr="0759C439">
              <w:rPr>
                <w:rFonts w:ascii="Avenir Next LT Pro" w:hAnsi="Avenir Next LT Pro"/>
                <w:b w:val="0"/>
                <w:sz w:val="21"/>
                <w:szCs w:val="21"/>
              </w:rPr>
              <w:t>100,540 -</w:t>
            </w:r>
            <w:r w:rsidR="0407ED21" w:rsidRPr="0759C439">
              <w:rPr>
                <w:rFonts w:ascii="Avenir Next LT Pro" w:hAnsi="Avenir Next LT Pro"/>
                <w:b w:val="0"/>
                <w:sz w:val="21"/>
                <w:szCs w:val="21"/>
              </w:rPr>
              <w:t>1</w:t>
            </w:r>
            <w:r w:rsidRPr="0759C439">
              <w:rPr>
                <w:rFonts w:ascii="Avenir Next LT Pro" w:hAnsi="Avenir Next LT Pro"/>
                <w:b w:val="0"/>
                <w:sz w:val="21"/>
                <w:szCs w:val="21"/>
              </w:rPr>
              <w:t xml:space="preserve">43,796 </w:t>
            </w:r>
          </w:p>
        </w:tc>
        <w:tc>
          <w:tcPr>
            <w:tcW w:w="1998" w:type="dxa"/>
            <w:shd w:val="clear" w:color="auto" w:fill="auto"/>
          </w:tcPr>
          <w:p w14:paraId="565EC18A" w14:textId="698D4395" w:rsidR="00601D56" w:rsidRPr="00905F11" w:rsidRDefault="3730EA45" w:rsidP="77A1DB2B">
            <w:pPr>
              <w:rPr>
                <w:rFonts w:ascii="Avenir Next LT Pro Light" w:hAnsi="Avenir Next LT Pro Light"/>
                <w:b w:val="0"/>
                <w:sz w:val="21"/>
                <w:szCs w:val="21"/>
              </w:rPr>
            </w:pPr>
            <w:r w:rsidRPr="0759C439">
              <w:rPr>
                <w:rFonts w:ascii="Avenir Next LT Pro" w:hAnsi="Avenir Next LT Pro"/>
                <w:b w:val="0"/>
                <w:sz w:val="21"/>
                <w:szCs w:val="21"/>
              </w:rPr>
              <w:t>110,327 -</w:t>
            </w:r>
            <w:r w:rsidR="0407ED21" w:rsidRPr="0759C439">
              <w:rPr>
                <w:rFonts w:ascii="Avenir Next LT Pro" w:hAnsi="Avenir Next LT Pro"/>
                <w:b w:val="0"/>
                <w:sz w:val="21"/>
                <w:szCs w:val="21"/>
              </w:rPr>
              <w:t>1</w:t>
            </w:r>
            <w:r w:rsidRPr="0759C439">
              <w:rPr>
                <w:rFonts w:ascii="Avenir Next LT Pro" w:hAnsi="Avenir Next LT Pro"/>
                <w:b w:val="0"/>
                <w:sz w:val="21"/>
                <w:szCs w:val="21"/>
              </w:rPr>
              <w:t>53,490</w:t>
            </w:r>
          </w:p>
        </w:tc>
        <w:tc>
          <w:tcPr>
            <w:tcW w:w="1980" w:type="dxa"/>
            <w:shd w:val="clear" w:color="auto" w:fill="auto"/>
          </w:tcPr>
          <w:p w14:paraId="0C339F5B" w14:textId="04497210" w:rsidR="00601D56" w:rsidRPr="00905F11" w:rsidRDefault="3730EA45" w:rsidP="77A1DB2B">
            <w:pPr>
              <w:rPr>
                <w:rFonts w:ascii="Avenir Next LT Pro Light" w:hAnsi="Avenir Next LT Pro Light"/>
                <w:b w:val="0"/>
                <w:sz w:val="21"/>
                <w:szCs w:val="21"/>
              </w:rPr>
            </w:pPr>
            <w:r w:rsidRPr="0759C439">
              <w:rPr>
                <w:rFonts w:ascii="Avenir Next LT Pro" w:hAnsi="Avenir Next LT Pro"/>
                <w:b w:val="0"/>
                <w:sz w:val="21"/>
                <w:szCs w:val="21"/>
              </w:rPr>
              <w:t>104,648 -</w:t>
            </w:r>
            <w:r w:rsidR="0407ED21" w:rsidRPr="0759C439">
              <w:rPr>
                <w:rFonts w:ascii="Avenir Next LT Pro" w:hAnsi="Avenir Next LT Pro"/>
                <w:b w:val="0"/>
                <w:sz w:val="21"/>
                <w:szCs w:val="21"/>
              </w:rPr>
              <w:t>14</w:t>
            </w:r>
            <w:r w:rsidRPr="0759C439">
              <w:rPr>
                <w:rFonts w:ascii="Avenir Next LT Pro" w:hAnsi="Avenir Next LT Pro"/>
                <w:b w:val="0"/>
                <w:sz w:val="21"/>
                <w:szCs w:val="21"/>
              </w:rPr>
              <w:t>7,866</w:t>
            </w:r>
          </w:p>
        </w:tc>
        <w:tc>
          <w:tcPr>
            <w:tcW w:w="2040" w:type="dxa"/>
            <w:shd w:val="clear" w:color="auto" w:fill="auto"/>
          </w:tcPr>
          <w:p w14:paraId="33751FD4" w14:textId="794B1DA5" w:rsidR="00601D56" w:rsidRPr="00905F11" w:rsidRDefault="00601D56" w:rsidP="77A1DB2B">
            <w:pPr>
              <w:rPr>
                <w:rFonts w:ascii="Avenir Next LT Pro Light" w:hAnsi="Avenir Next LT Pro Light"/>
                <w:b w:val="0"/>
                <w:sz w:val="21"/>
                <w:szCs w:val="21"/>
              </w:rPr>
            </w:pPr>
            <w:r w:rsidRPr="77A1DB2B">
              <w:rPr>
                <w:rFonts w:ascii="Avenir Next LT Pro" w:hAnsi="Avenir Next LT Pro"/>
                <w:b w:val="0"/>
                <w:sz w:val="21"/>
                <w:szCs w:val="21"/>
              </w:rPr>
              <w:t xml:space="preserve">101,967 - </w:t>
            </w:r>
            <w:r w:rsidR="00B25B23" w:rsidRPr="77A1DB2B">
              <w:rPr>
                <w:rFonts w:ascii="Avenir Next LT Pro" w:hAnsi="Avenir Next LT Pro"/>
                <w:b w:val="0"/>
                <w:sz w:val="21"/>
                <w:szCs w:val="21"/>
              </w:rPr>
              <w:t>1</w:t>
            </w:r>
            <w:r w:rsidRPr="77A1DB2B">
              <w:rPr>
                <w:rFonts w:ascii="Avenir Next LT Pro" w:hAnsi="Avenir Next LT Pro"/>
                <w:b w:val="0"/>
                <w:sz w:val="21"/>
                <w:szCs w:val="21"/>
              </w:rPr>
              <w:t>45,218</w:t>
            </w:r>
          </w:p>
        </w:tc>
      </w:tr>
    </w:tbl>
    <w:p w14:paraId="19F17D42" w14:textId="62979B8D" w:rsidR="00935A20" w:rsidRPr="0089509D" w:rsidRDefault="00935A20" w:rsidP="00E85133">
      <w:pPr>
        <w:pStyle w:val="EPMNumberedHeading"/>
      </w:pPr>
      <w:bookmarkStart w:id="5" w:name="_Toc55832565"/>
      <w:r w:rsidRPr="00A72DAF">
        <w:t xml:space="preserve">Unit </w:t>
      </w:r>
      <w:r>
        <w:t>T</w:t>
      </w:r>
      <w:r w:rsidRPr="00A72DAF">
        <w:t xml:space="preserve">otals and </w:t>
      </w:r>
      <w:r>
        <w:t>H</w:t>
      </w:r>
      <w:r w:rsidRPr="00A72DAF">
        <w:t xml:space="preserve">eadteacher </w:t>
      </w:r>
      <w:r>
        <w:t>G</w:t>
      </w:r>
      <w:r w:rsidRPr="00A72DAF">
        <w:t xml:space="preserve">roups – </w:t>
      </w:r>
      <w:r>
        <w:t>O</w:t>
      </w:r>
      <w:r w:rsidRPr="00A72DAF">
        <w:t xml:space="preserve">rdinary </w:t>
      </w:r>
      <w:r>
        <w:t>S</w:t>
      </w:r>
      <w:r w:rsidRPr="00A72DAF">
        <w:t>chools</w:t>
      </w:r>
      <w:bookmarkEnd w:id="5"/>
    </w:p>
    <w:p w14:paraId="605F144F" w14:textId="77777777" w:rsidR="00935A20" w:rsidRPr="00A265B5" w:rsidRDefault="00935A20" w:rsidP="00ED158A">
      <w:pPr>
        <w:pStyle w:val="EPMNumberedSubheading"/>
        <w:ind w:left="1134" w:right="-29" w:hanging="425"/>
        <w:jc w:val="both"/>
        <w:rPr>
          <w:rFonts w:ascii="Avenir Next LT Pro Light" w:hAnsi="Avenir Next LT Pro Light"/>
          <w:sz w:val="21"/>
          <w:szCs w:val="21"/>
        </w:rPr>
      </w:pPr>
      <w:r w:rsidRPr="00A265B5">
        <w:rPr>
          <w:rFonts w:ascii="Avenir Next LT Pro Light" w:hAnsi="Avenir Next LT Pro Light"/>
          <w:sz w:val="21"/>
          <w:szCs w:val="21"/>
        </w:rPr>
        <w:lastRenderedPageBreak/>
        <w:t>Subject to paragraph 8 an ordinary school must be assigned to a headteacher group in accordance with the following table by reference to its total unit score calculated in accordance with paragraphs 6.1 to 6.5:</w:t>
      </w:r>
    </w:p>
    <w:tbl>
      <w:tblPr>
        <w:tblStyle w:val="EPMTableStyle"/>
        <w:tblW w:w="4395" w:type="dxa"/>
        <w:tblInd w:w="1134" w:type="dxa"/>
        <w:tblLook w:val="04A0" w:firstRow="1" w:lastRow="0" w:firstColumn="1" w:lastColumn="0" w:noHBand="0" w:noVBand="1"/>
      </w:tblPr>
      <w:tblGrid>
        <w:gridCol w:w="3119"/>
        <w:gridCol w:w="1276"/>
      </w:tblGrid>
      <w:tr w:rsidR="00935A20" w:rsidRPr="005F6A48" w14:paraId="29FDE39A" w14:textId="77777777" w:rsidTr="00ED158A">
        <w:trPr>
          <w:cnfStyle w:val="100000000000" w:firstRow="1" w:lastRow="0" w:firstColumn="0" w:lastColumn="0" w:oddVBand="0" w:evenVBand="0" w:oddHBand="0" w:evenHBand="0" w:firstRowFirstColumn="0" w:firstRowLastColumn="0" w:lastRowFirstColumn="0" w:lastRowLastColumn="0"/>
        </w:trPr>
        <w:tc>
          <w:tcPr>
            <w:tcW w:w="3119" w:type="dxa"/>
          </w:tcPr>
          <w:p w14:paraId="3A9AF18B" w14:textId="77777777"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Total Unit Score</w:t>
            </w:r>
          </w:p>
        </w:tc>
        <w:tc>
          <w:tcPr>
            <w:tcW w:w="1276" w:type="dxa"/>
          </w:tcPr>
          <w:p w14:paraId="653128FA" w14:textId="77777777" w:rsidR="00935A20" w:rsidRPr="005F6A48" w:rsidRDefault="00935A20"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Group</w:t>
            </w:r>
          </w:p>
        </w:tc>
      </w:tr>
      <w:tr w:rsidR="00935A20" w:rsidRPr="001F41F7" w14:paraId="5A373C81" w14:textId="77777777" w:rsidTr="00ED158A">
        <w:tc>
          <w:tcPr>
            <w:tcW w:w="3119" w:type="dxa"/>
          </w:tcPr>
          <w:p w14:paraId="0C114A30"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Up to 1,000</w:t>
            </w:r>
          </w:p>
        </w:tc>
        <w:tc>
          <w:tcPr>
            <w:tcW w:w="1276" w:type="dxa"/>
          </w:tcPr>
          <w:p w14:paraId="0E57D29B"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w:t>
            </w:r>
          </w:p>
        </w:tc>
      </w:tr>
      <w:tr w:rsidR="00935A20" w:rsidRPr="001F41F7" w14:paraId="7349174C"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1419038C"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1,001 to 2,200</w:t>
            </w:r>
          </w:p>
        </w:tc>
        <w:tc>
          <w:tcPr>
            <w:tcW w:w="1276" w:type="dxa"/>
            <w:shd w:val="clear" w:color="auto" w:fill="auto"/>
          </w:tcPr>
          <w:p w14:paraId="1EA9CDCE"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2</w:t>
            </w:r>
          </w:p>
        </w:tc>
      </w:tr>
      <w:tr w:rsidR="00935A20" w:rsidRPr="001F41F7" w14:paraId="4A18D459" w14:textId="77777777" w:rsidTr="00ED158A">
        <w:tc>
          <w:tcPr>
            <w:tcW w:w="3119" w:type="dxa"/>
          </w:tcPr>
          <w:p w14:paraId="560FB90B"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2,201 to 3,500</w:t>
            </w:r>
          </w:p>
        </w:tc>
        <w:tc>
          <w:tcPr>
            <w:tcW w:w="1276" w:type="dxa"/>
          </w:tcPr>
          <w:p w14:paraId="343AAD58"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3</w:t>
            </w:r>
          </w:p>
        </w:tc>
      </w:tr>
      <w:tr w:rsidR="00935A20" w:rsidRPr="001F41F7" w14:paraId="61EFEA82"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359729D5"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3,501 to 5,000</w:t>
            </w:r>
          </w:p>
        </w:tc>
        <w:tc>
          <w:tcPr>
            <w:tcW w:w="1276" w:type="dxa"/>
            <w:shd w:val="clear" w:color="auto" w:fill="auto"/>
          </w:tcPr>
          <w:p w14:paraId="032C9F82"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4</w:t>
            </w:r>
          </w:p>
        </w:tc>
      </w:tr>
      <w:tr w:rsidR="00935A20" w:rsidRPr="001F41F7" w14:paraId="22E1F8F3" w14:textId="77777777" w:rsidTr="00ED158A">
        <w:tc>
          <w:tcPr>
            <w:tcW w:w="3119" w:type="dxa"/>
          </w:tcPr>
          <w:p w14:paraId="4C04647B"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5,001 to 7,500</w:t>
            </w:r>
          </w:p>
        </w:tc>
        <w:tc>
          <w:tcPr>
            <w:tcW w:w="1276" w:type="dxa"/>
          </w:tcPr>
          <w:p w14:paraId="5F8F98B3"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5</w:t>
            </w:r>
          </w:p>
        </w:tc>
      </w:tr>
      <w:tr w:rsidR="00935A20" w:rsidRPr="001F41F7" w14:paraId="7E421A46"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521847A9"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7,501 to 11,000</w:t>
            </w:r>
          </w:p>
        </w:tc>
        <w:tc>
          <w:tcPr>
            <w:tcW w:w="1276" w:type="dxa"/>
            <w:shd w:val="clear" w:color="auto" w:fill="auto"/>
          </w:tcPr>
          <w:p w14:paraId="0881FFE1"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6</w:t>
            </w:r>
          </w:p>
        </w:tc>
      </w:tr>
      <w:tr w:rsidR="00935A20" w:rsidRPr="001F41F7" w14:paraId="46E8CB31" w14:textId="77777777" w:rsidTr="00ED158A">
        <w:tc>
          <w:tcPr>
            <w:tcW w:w="3119" w:type="dxa"/>
          </w:tcPr>
          <w:p w14:paraId="48F6F0D5"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11,001 to 17,000</w:t>
            </w:r>
          </w:p>
        </w:tc>
        <w:tc>
          <w:tcPr>
            <w:tcW w:w="1276" w:type="dxa"/>
          </w:tcPr>
          <w:p w14:paraId="4481E987"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7</w:t>
            </w:r>
          </w:p>
        </w:tc>
      </w:tr>
      <w:tr w:rsidR="00935A20" w:rsidRPr="001F41F7" w14:paraId="5113CBDA"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6BC7E6E6" w14:textId="77777777" w:rsidR="00935A20" w:rsidRPr="00A265B5" w:rsidRDefault="00935A20" w:rsidP="00905F11">
            <w:pPr>
              <w:ind w:left="598" w:hanging="598"/>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17,001 and over</w:t>
            </w:r>
          </w:p>
        </w:tc>
        <w:tc>
          <w:tcPr>
            <w:tcW w:w="1276" w:type="dxa"/>
            <w:shd w:val="clear" w:color="auto" w:fill="auto"/>
          </w:tcPr>
          <w:p w14:paraId="6EF1E60F" w14:textId="77777777" w:rsidR="00935A20" w:rsidRPr="00A265B5" w:rsidRDefault="00935A20" w:rsidP="009D22B7">
            <w:pPr>
              <w:jc w:val="center"/>
              <w:rPr>
                <w:rFonts w:ascii="Avenir Next LT Pro Light" w:hAnsi="Avenir Next LT Pro Light"/>
                <w:b w:val="0"/>
                <w:bCs/>
                <w:color w:val="000000"/>
                <w:sz w:val="21"/>
                <w:szCs w:val="21"/>
              </w:rPr>
            </w:pPr>
            <w:r w:rsidRPr="00A265B5">
              <w:rPr>
                <w:rFonts w:ascii="Avenir Next LT Pro Light" w:hAnsi="Avenir Next LT Pro Light"/>
                <w:b w:val="0"/>
                <w:bCs/>
                <w:color w:val="000000"/>
                <w:sz w:val="21"/>
                <w:szCs w:val="21"/>
              </w:rPr>
              <w:t>8</w:t>
            </w:r>
          </w:p>
        </w:tc>
      </w:tr>
    </w:tbl>
    <w:p w14:paraId="5384100E" w14:textId="77777777" w:rsidR="00935A20" w:rsidRPr="00E470FC" w:rsidRDefault="00935A20" w:rsidP="00935A20">
      <w:pPr>
        <w:pStyle w:val="EPMTextstyle"/>
        <w:ind w:left="709"/>
      </w:pPr>
    </w:p>
    <w:p w14:paraId="794572F2"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Subject to paragraphs 6.3 to 6.5, the total unit score must be determined in accordance with the number of pupils on the school register, calculated as follows:</w:t>
      </w:r>
    </w:p>
    <w:tbl>
      <w:tblPr>
        <w:tblStyle w:val="EPMTableStyle"/>
        <w:tblW w:w="0" w:type="auto"/>
        <w:tblInd w:w="1134" w:type="dxa"/>
        <w:tblLook w:val="04A0" w:firstRow="1" w:lastRow="0" w:firstColumn="1" w:lastColumn="0" w:noHBand="0" w:noVBand="1"/>
      </w:tblPr>
      <w:tblGrid>
        <w:gridCol w:w="4962"/>
        <w:gridCol w:w="1984"/>
      </w:tblGrid>
      <w:tr w:rsidR="00905F11" w:rsidRPr="00905F11" w14:paraId="698A5358" w14:textId="77777777" w:rsidTr="00ED158A">
        <w:trPr>
          <w:cnfStyle w:val="100000000000" w:firstRow="1" w:lastRow="0" w:firstColumn="0" w:lastColumn="0" w:oddVBand="0" w:evenVBand="0" w:oddHBand="0" w:evenHBand="0" w:firstRowFirstColumn="0" w:firstRowLastColumn="0" w:lastRowFirstColumn="0" w:lastRowLastColumn="0"/>
        </w:trPr>
        <w:tc>
          <w:tcPr>
            <w:tcW w:w="4962" w:type="dxa"/>
          </w:tcPr>
          <w:p w14:paraId="78579FA7" w14:textId="77777777" w:rsidR="00905F11" w:rsidRPr="005F6A48" w:rsidRDefault="00905F11"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Key Stage</w:t>
            </w:r>
          </w:p>
        </w:tc>
        <w:tc>
          <w:tcPr>
            <w:tcW w:w="1984" w:type="dxa"/>
          </w:tcPr>
          <w:p w14:paraId="5494BFAE" w14:textId="77777777" w:rsidR="00905F11" w:rsidRPr="005F6A48" w:rsidRDefault="00905F11"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Units per pupil</w:t>
            </w:r>
          </w:p>
        </w:tc>
      </w:tr>
      <w:tr w:rsidR="00905F11" w:rsidRPr="00905F11" w14:paraId="1C3FBCDA" w14:textId="77777777" w:rsidTr="00ED158A">
        <w:tc>
          <w:tcPr>
            <w:tcW w:w="4962" w:type="dxa"/>
          </w:tcPr>
          <w:p w14:paraId="7AAC4EB3" w14:textId="77777777" w:rsidR="00905F11" w:rsidRPr="00F83C0B" w:rsidRDefault="00905F11" w:rsidP="00F83C0B">
            <w:pPr>
              <w:pStyle w:val="EPMNumberedSubheading"/>
              <w:numPr>
                <w:ilvl w:val="0"/>
                <w:numId w:val="0"/>
              </w:numPr>
              <w:ind w:left="42"/>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preliminary stage and each pupil in the first or second key stage</w:t>
            </w:r>
          </w:p>
        </w:tc>
        <w:tc>
          <w:tcPr>
            <w:tcW w:w="1984" w:type="dxa"/>
          </w:tcPr>
          <w:p w14:paraId="3F543345"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7</w:t>
            </w:r>
          </w:p>
        </w:tc>
      </w:tr>
      <w:tr w:rsidR="00905F11" w:rsidRPr="00905F11" w14:paraId="78FDC083" w14:textId="77777777" w:rsidTr="00ED158A">
        <w:trPr>
          <w:cnfStyle w:val="000000010000" w:firstRow="0" w:lastRow="0" w:firstColumn="0" w:lastColumn="0" w:oddVBand="0" w:evenVBand="0" w:oddHBand="0" w:evenHBand="1" w:firstRowFirstColumn="0" w:firstRowLastColumn="0" w:lastRowFirstColumn="0" w:lastRowLastColumn="0"/>
        </w:trPr>
        <w:tc>
          <w:tcPr>
            <w:tcW w:w="4962" w:type="dxa"/>
            <w:shd w:val="clear" w:color="auto" w:fill="auto"/>
          </w:tcPr>
          <w:p w14:paraId="543CC86B" w14:textId="77777777" w:rsidR="00905F11" w:rsidRPr="00F83C0B" w:rsidRDefault="00905F11" w:rsidP="00F83C0B">
            <w:pPr>
              <w:pStyle w:val="EPMNumberedSubheading"/>
              <w:numPr>
                <w:ilvl w:val="0"/>
                <w:numId w:val="0"/>
              </w:numPr>
              <w:ind w:left="42"/>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third key stage</w:t>
            </w:r>
          </w:p>
        </w:tc>
        <w:tc>
          <w:tcPr>
            <w:tcW w:w="1984" w:type="dxa"/>
            <w:shd w:val="clear" w:color="auto" w:fill="auto"/>
          </w:tcPr>
          <w:p w14:paraId="3AE186D1"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9</w:t>
            </w:r>
          </w:p>
        </w:tc>
      </w:tr>
      <w:tr w:rsidR="00905F11" w:rsidRPr="00905F11" w14:paraId="5A5CE7F7" w14:textId="77777777" w:rsidTr="00ED158A">
        <w:tc>
          <w:tcPr>
            <w:tcW w:w="4962" w:type="dxa"/>
          </w:tcPr>
          <w:p w14:paraId="39CF5175" w14:textId="77777777" w:rsidR="00905F11" w:rsidRPr="00F83C0B" w:rsidRDefault="00905F11" w:rsidP="00F83C0B">
            <w:pPr>
              <w:pStyle w:val="EPMNumberedSubheading"/>
              <w:numPr>
                <w:ilvl w:val="0"/>
                <w:numId w:val="0"/>
              </w:numPr>
              <w:ind w:left="184" w:hanging="142"/>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fourth key stage</w:t>
            </w:r>
          </w:p>
        </w:tc>
        <w:tc>
          <w:tcPr>
            <w:tcW w:w="1984" w:type="dxa"/>
          </w:tcPr>
          <w:p w14:paraId="6174D6AF"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11</w:t>
            </w:r>
          </w:p>
        </w:tc>
      </w:tr>
      <w:tr w:rsidR="00905F11" w:rsidRPr="00905F11" w14:paraId="10B06FB5" w14:textId="77777777" w:rsidTr="00ED158A">
        <w:trPr>
          <w:cnfStyle w:val="000000010000" w:firstRow="0" w:lastRow="0" w:firstColumn="0" w:lastColumn="0" w:oddVBand="0" w:evenVBand="0" w:oddHBand="0" w:evenHBand="1" w:firstRowFirstColumn="0" w:firstRowLastColumn="0" w:lastRowFirstColumn="0" w:lastRowLastColumn="0"/>
        </w:trPr>
        <w:tc>
          <w:tcPr>
            <w:tcW w:w="4962" w:type="dxa"/>
            <w:shd w:val="clear" w:color="auto" w:fill="auto"/>
          </w:tcPr>
          <w:p w14:paraId="393BDA41" w14:textId="77777777" w:rsidR="00905F11" w:rsidRPr="00F83C0B" w:rsidRDefault="00905F11" w:rsidP="00F83C0B">
            <w:pPr>
              <w:pStyle w:val="EPMNumberedSubheading"/>
              <w:numPr>
                <w:ilvl w:val="0"/>
                <w:numId w:val="0"/>
              </w:numPr>
              <w:ind w:left="709" w:hanging="667"/>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For each pupil in the fifth key stage</w:t>
            </w:r>
          </w:p>
        </w:tc>
        <w:tc>
          <w:tcPr>
            <w:tcW w:w="1984" w:type="dxa"/>
            <w:shd w:val="clear" w:color="auto" w:fill="auto"/>
          </w:tcPr>
          <w:p w14:paraId="4830BC31" w14:textId="77777777" w:rsidR="00905F11" w:rsidRPr="00F83C0B" w:rsidRDefault="00905F11" w:rsidP="00F83C0B">
            <w:pPr>
              <w:pStyle w:val="EPMNumberedSubheading"/>
              <w:numPr>
                <w:ilvl w:val="0"/>
                <w:numId w:val="0"/>
              </w:numPr>
              <w:jc w:val="center"/>
              <w:rPr>
                <w:rFonts w:ascii="Avenir Next LT Pro Light" w:hAnsi="Avenir Next LT Pro Light"/>
                <w:b w:val="0"/>
                <w:bCs/>
                <w:color w:val="auto"/>
                <w:sz w:val="21"/>
                <w:szCs w:val="21"/>
              </w:rPr>
            </w:pPr>
            <w:r w:rsidRPr="00F83C0B">
              <w:rPr>
                <w:rFonts w:ascii="Avenir Next LT Pro Light" w:hAnsi="Avenir Next LT Pro Light"/>
                <w:b w:val="0"/>
                <w:bCs/>
                <w:color w:val="auto"/>
                <w:sz w:val="21"/>
                <w:szCs w:val="21"/>
              </w:rPr>
              <w:t>13</w:t>
            </w:r>
          </w:p>
        </w:tc>
      </w:tr>
    </w:tbl>
    <w:p w14:paraId="5BBA264E"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number of pupils on the school register, and the number of pupils at each key stage, must be determined by the numbers as shown on the most recent return of the Department for Education (DfE) School Census submitted to the DfE on behalf of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w:t>
      </w:r>
    </w:p>
    <w:p w14:paraId="0F5C56FB"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Each pupil with a statement of special educational needs (SEN) or from September 2014 an Education, Health and Care (EHC) plan must, if in a special class consisting wholly or mainly of such pupil, be counted as three units more than the pupil would otherwise be counted as by virtue of paragraph 6.2, and, if not in such a special class, be counted as three such units only where the relevant body so determines.</w:t>
      </w:r>
    </w:p>
    <w:p w14:paraId="64818A16"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Each pupil who attends for no more than half a day on each day for which the pupil attends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 xml:space="preserve"> must be counted as half as many units as the pupil would otherwise be counted as under paragraphs 6.2 or 6.4.</w:t>
      </w:r>
    </w:p>
    <w:p w14:paraId="589B62F4" w14:textId="77777777" w:rsidR="00905F11" w:rsidRPr="00A265B5" w:rsidRDefault="00905F11"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lastRenderedPageBreak/>
        <w:t>Where the Headteacher is appointed as headteacher of more than one school on a permanent basis, the relevant body of the Headteacher’s original school or, under the collaboration Regulations, the collaborating body must calculate the Headteacher group by combining the unit score of all the schools for which the Headteacher is responsible to arrive at a total unit score, which then determines the Headteacher group.</w:t>
      </w:r>
    </w:p>
    <w:p w14:paraId="110DC294" w14:textId="77777777" w:rsidR="00F83C0B" w:rsidRPr="00581D3D" w:rsidRDefault="00F83C0B" w:rsidP="00E85133">
      <w:pPr>
        <w:pStyle w:val="EPMNumberedHeading"/>
      </w:pPr>
      <w:bookmarkStart w:id="6" w:name="_Toc55832566"/>
      <w:r w:rsidRPr="00581D3D">
        <w:t xml:space="preserve">Unit </w:t>
      </w:r>
      <w:r>
        <w:t>T</w:t>
      </w:r>
      <w:r w:rsidRPr="00581D3D">
        <w:t xml:space="preserve">otals and </w:t>
      </w:r>
      <w:r>
        <w:t>H</w:t>
      </w:r>
      <w:r w:rsidRPr="00581D3D">
        <w:t xml:space="preserve">eadteacher </w:t>
      </w:r>
      <w:r>
        <w:t>G</w:t>
      </w:r>
      <w:r w:rsidRPr="00581D3D">
        <w:t xml:space="preserve">roups – </w:t>
      </w:r>
      <w:r>
        <w:t>S</w:t>
      </w:r>
      <w:r w:rsidRPr="00581D3D">
        <w:t xml:space="preserve">pecial </w:t>
      </w:r>
      <w:r>
        <w:t>S</w:t>
      </w:r>
      <w:r w:rsidRPr="00581D3D">
        <w:t>chools</w:t>
      </w:r>
      <w:bookmarkEnd w:id="6"/>
      <w:r w:rsidRPr="00581D3D">
        <w:t xml:space="preserve"> </w:t>
      </w:r>
    </w:p>
    <w:p w14:paraId="57EE6548" w14:textId="77777777" w:rsidR="00F83C0B" w:rsidRPr="00A265B5" w:rsidRDefault="00F83C0B" w:rsidP="008D0CAA">
      <w:pPr>
        <w:ind w:left="851" w:hanging="142"/>
        <w:jc w:val="both"/>
        <w:rPr>
          <w:rFonts w:ascii="Avenir Next LT Pro Light" w:hAnsi="Avenir Next LT Pro Light"/>
          <w:sz w:val="21"/>
          <w:szCs w:val="21"/>
        </w:rPr>
      </w:pPr>
      <w:r w:rsidRPr="00A265B5">
        <w:rPr>
          <w:rFonts w:ascii="Avenir Next LT Pro Light" w:hAnsi="Avenir Next LT Pro Light"/>
          <w:sz w:val="21"/>
          <w:szCs w:val="21"/>
        </w:rPr>
        <w:t>The following paragraph 7 is only relevant to Special Schools.</w:t>
      </w:r>
    </w:p>
    <w:p w14:paraId="6FB059DD" w14:textId="41276938" w:rsidR="00ED158A"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Subject to paragraph 8, a special school must be assigned to a headteacher group in accordance with the following table by reference to its modified total unit score calculated in accordance with paragraphs 7.2 to 7.8:</w:t>
      </w:r>
    </w:p>
    <w:tbl>
      <w:tblPr>
        <w:tblStyle w:val="EPMTableStyle"/>
        <w:tblW w:w="6379" w:type="dxa"/>
        <w:tblInd w:w="1134" w:type="dxa"/>
        <w:tblLook w:val="04A0" w:firstRow="1" w:lastRow="0" w:firstColumn="1" w:lastColumn="0" w:noHBand="0" w:noVBand="1"/>
      </w:tblPr>
      <w:tblGrid>
        <w:gridCol w:w="3119"/>
        <w:gridCol w:w="3260"/>
      </w:tblGrid>
      <w:tr w:rsidR="00F83C0B" w:rsidRPr="007F5F98" w14:paraId="1F9659A2" w14:textId="77777777" w:rsidTr="00ED158A">
        <w:trPr>
          <w:cnfStyle w:val="100000000000" w:firstRow="1" w:lastRow="0" w:firstColumn="0" w:lastColumn="0" w:oddVBand="0" w:evenVBand="0" w:oddHBand="0" w:evenHBand="0" w:firstRowFirstColumn="0" w:firstRowLastColumn="0" w:lastRowFirstColumn="0" w:lastRowLastColumn="0"/>
        </w:trPr>
        <w:tc>
          <w:tcPr>
            <w:tcW w:w="3119" w:type="dxa"/>
          </w:tcPr>
          <w:p w14:paraId="5B7463E7"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Modified Total Unit Score</w:t>
            </w:r>
          </w:p>
        </w:tc>
        <w:tc>
          <w:tcPr>
            <w:tcW w:w="3260" w:type="dxa"/>
          </w:tcPr>
          <w:p w14:paraId="1B296F0F"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Group</w:t>
            </w:r>
          </w:p>
        </w:tc>
      </w:tr>
      <w:tr w:rsidR="00F83C0B" w:rsidRPr="007F5F98" w14:paraId="7C7B268E" w14:textId="77777777" w:rsidTr="00ED158A">
        <w:tc>
          <w:tcPr>
            <w:tcW w:w="3119" w:type="dxa"/>
          </w:tcPr>
          <w:p w14:paraId="65F964C1"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Up to 2,200</w:t>
            </w:r>
          </w:p>
        </w:tc>
        <w:tc>
          <w:tcPr>
            <w:tcW w:w="3260" w:type="dxa"/>
          </w:tcPr>
          <w:p w14:paraId="2B9B3634"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2</w:t>
            </w:r>
          </w:p>
        </w:tc>
      </w:tr>
      <w:tr w:rsidR="00F83C0B" w:rsidRPr="007F5F98" w14:paraId="7CC894C0"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1B83023C"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2,201 to 3,500</w:t>
            </w:r>
          </w:p>
        </w:tc>
        <w:tc>
          <w:tcPr>
            <w:tcW w:w="3260" w:type="dxa"/>
            <w:shd w:val="clear" w:color="auto" w:fill="auto"/>
          </w:tcPr>
          <w:p w14:paraId="0BF979F6"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3</w:t>
            </w:r>
          </w:p>
        </w:tc>
      </w:tr>
      <w:tr w:rsidR="00F83C0B" w:rsidRPr="007F5F98" w14:paraId="7005D10A" w14:textId="77777777" w:rsidTr="00ED158A">
        <w:tc>
          <w:tcPr>
            <w:tcW w:w="3119" w:type="dxa"/>
          </w:tcPr>
          <w:p w14:paraId="35FF8768"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3,501 to 5,000</w:t>
            </w:r>
          </w:p>
        </w:tc>
        <w:tc>
          <w:tcPr>
            <w:tcW w:w="3260" w:type="dxa"/>
          </w:tcPr>
          <w:p w14:paraId="26FA6BC9"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4</w:t>
            </w:r>
          </w:p>
        </w:tc>
      </w:tr>
      <w:tr w:rsidR="00F83C0B" w:rsidRPr="007F5F98" w14:paraId="2524B051"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2A31505D"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5,001 to 7,500</w:t>
            </w:r>
          </w:p>
        </w:tc>
        <w:tc>
          <w:tcPr>
            <w:tcW w:w="3260" w:type="dxa"/>
            <w:shd w:val="clear" w:color="auto" w:fill="auto"/>
          </w:tcPr>
          <w:p w14:paraId="40E4D0A2"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5</w:t>
            </w:r>
          </w:p>
        </w:tc>
      </w:tr>
      <w:tr w:rsidR="00F83C0B" w:rsidRPr="007F5F98" w14:paraId="1754660C" w14:textId="77777777" w:rsidTr="00ED158A">
        <w:tc>
          <w:tcPr>
            <w:tcW w:w="3119" w:type="dxa"/>
          </w:tcPr>
          <w:p w14:paraId="0B8CE89F"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7,501 to 11,000</w:t>
            </w:r>
          </w:p>
        </w:tc>
        <w:tc>
          <w:tcPr>
            <w:tcW w:w="3260" w:type="dxa"/>
          </w:tcPr>
          <w:p w14:paraId="37C4E365"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6</w:t>
            </w:r>
          </w:p>
        </w:tc>
      </w:tr>
      <w:tr w:rsidR="00F83C0B" w:rsidRPr="007F5F98" w14:paraId="0C8558C3" w14:textId="77777777" w:rsidTr="00ED158A">
        <w:trPr>
          <w:cnfStyle w:val="000000010000" w:firstRow="0" w:lastRow="0" w:firstColumn="0" w:lastColumn="0" w:oddVBand="0" w:evenVBand="0" w:oddHBand="0" w:evenHBand="1" w:firstRowFirstColumn="0" w:firstRowLastColumn="0" w:lastRowFirstColumn="0" w:lastRowLastColumn="0"/>
        </w:trPr>
        <w:tc>
          <w:tcPr>
            <w:tcW w:w="3119" w:type="dxa"/>
            <w:shd w:val="clear" w:color="auto" w:fill="auto"/>
          </w:tcPr>
          <w:p w14:paraId="1BDB915C"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11,001 to 17,000</w:t>
            </w:r>
          </w:p>
        </w:tc>
        <w:tc>
          <w:tcPr>
            <w:tcW w:w="3260" w:type="dxa"/>
            <w:shd w:val="clear" w:color="auto" w:fill="auto"/>
          </w:tcPr>
          <w:p w14:paraId="51643656"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7</w:t>
            </w:r>
          </w:p>
        </w:tc>
      </w:tr>
      <w:tr w:rsidR="00F83C0B" w:rsidRPr="007F5F98" w14:paraId="6C01B4DF" w14:textId="77777777" w:rsidTr="00ED158A">
        <w:tc>
          <w:tcPr>
            <w:tcW w:w="3119" w:type="dxa"/>
          </w:tcPr>
          <w:p w14:paraId="72AAEA4F" w14:textId="77777777" w:rsidR="00F83C0B" w:rsidRPr="00F83C0B" w:rsidRDefault="00F83C0B" w:rsidP="009D22B7">
            <w:pPr>
              <w:pStyle w:val="Section-Level2"/>
              <w:numPr>
                <w:ilvl w:val="0"/>
                <w:numId w:val="0"/>
              </w:numPr>
              <w:spacing w:after="60"/>
              <w:rPr>
                <w:rFonts w:ascii="Avenir Next LT Pro Light" w:hAnsi="Avenir Next LT Pro Light"/>
                <w:b w:val="0"/>
                <w:bCs/>
                <w:sz w:val="21"/>
                <w:szCs w:val="21"/>
              </w:rPr>
            </w:pPr>
            <w:r w:rsidRPr="00F83C0B">
              <w:rPr>
                <w:rFonts w:ascii="Avenir Next LT Pro Light" w:hAnsi="Avenir Next LT Pro Light"/>
                <w:b w:val="0"/>
                <w:bCs/>
                <w:sz w:val="21"/>
                <w:szCs w:val="21"/>
              </w:rPr>
              <w:t>17,001 and over</w:t>
            </w:r>
          </w:p>
        </w:tc>
        <w:tc>
          <w:tcPr>
            <w:tcW w:w="3260" w:type="dxa"/>
          </w:tcPr>
          <w:p w14:paraId="21EBBEC1" w14:textId="77777777" w:rsidR="00F83C0B" w:rsidRPr="00F83C0B" w:rsidRDefault="00F83C0B" w:rsidP="009D22B7">
            <w:pPr>
              <w:pStyle w:val="Section-Level2"/>
              <w:numPr>
                <w:ilvl w:val="0"/>
                <w:numId w:val="0"/>
              </w:numPr>
              <w:spacing w:after="60"/>
              <w:jc w:val="center"/>
              <w:rPr>
                <w:rFonts w:ascii="Avenir Next LT Pro Light" w:hAnsi="Avenir Next LT Pro Light"/>
                <w:b w:val="0"/>
                <w:bCs/>
                <w:sz w:val="21"/>
                <w:szCs w:val="21"/>
              </w:rPr>
            </w:pPr>
            <w:r w:rsidRPr="00F83C0B">
              <w:rPr>
                <w:rFonts w:ascii="Avenir Next LT Pro Light" w:hAnsi="Avenir Next LT Pro Light"/>
                <w:b w:val="0"/>
                <w:bCs/>
                <w:sz w:val="21"/>
                <w:szCs w:val="21"/>
              </w:rPr>
              <w:t>8</w:t>
            </w:r>
          </w:p>
        </w:tc>
      </w:tr>
    </w:tbl>
    <w:p w14:paraId="1884C926" w14:textId="5BFA6041"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calculate the proportion of staff to pupils at the school expressed as a percentage (“the staff-pupil ratio”) in accordance with the following formula:</w:t>
      </w:r>
    </w:p>
    <w:p w14:paraId="76AAC9D4" w14:textId="2F4B8444" w:rsidR="00F83C0B" w:rsidRPr="00A265B5" w:rsidRDefault="00ED158A" w:rsidP="00F83C0B">
      <w:pPr>
        <w:pStyle w:val="EPMNumberedSubheading"/>
        <w:numPr>
          <w:ilvl w:val="0"/>
          <w:numId w:val="0"/>
        </w:numPr>
        <w:ind w:left="1418"/>
        <w:rPr>
          <w:rFonts w:ascii="Avenir Next LT Pro Light" w:hAnsi="Avenir Next LT Pro Light"/>
          <w:color w:val="auto"/>
          <w:sz w:val="21"/>
          <w:szCs w:val="21"/>
        </w:rPr>
      </w:pPr>
      <w:r w:rsidRPr="00A265B5">
        <w:rPr>
          <w:noProof/>
          <w:color w:val="auto"/>
          <w:lang w:val="en-US"/>
        </w:rPr>
        <w:drawing>
          <wp:anchor distT="0" distB="0" distL="114300" distR="114300" simplePos="0" relativeHeight="251658243" behindDoc="0" locked="0" layoutInCell="1" allowOverlap="1" wp14:anchorId="39256D47" wp14:editId="77690204">
            <wp:simplePos x="0" y="0"/>
            <wp:positionH relativeFrom="column">
              <wp:posOffset>736600</wp:posOffset>
            </wp:positionH>
            <wp:positionV relativeFrom="paragraph">
              <wp:posOffset>71120</wp:posOffset>
            </wp:positionV>
            <wp:extent cx="1217295" cy="467360"/>
            <wp:effectExtent l="0" t="0" r="1905" b="8890"/>
            <wp:wrapSquare wrapText="bothSides"/>
            <wp:docPr id="10" name="Picture 10" descr="The formula is A divided by B, then multiplied by 100" title="Staff-pupil ratio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34405" t="53018" r="52857" b="40856"/>
                    <a:stretch/>
                  </pic:blipFill>
                  <pic:spPr bwMode="auto">
                    <a:xfrm>
                      <a:off x="0" y="0"/>
                      <a:ext cx="1217295" cy="467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20943" w14:textId="77777777" w:rsidR="00F83C0B" w:rsidRPr="00A265B5" w:rsidRDefault="00F83C0B" w:rsidP="00F83C0B">
      <w:pPr>
        <w:pStyle w:val="Section-Level2"/>
        <w:numPr>
          <w:ilvl w:val="0"/>
          <w:numId w:val="0"/>
        </w:numPr>
        <w:ind w:left="1418"/>
        <w:rPr>
          <w:rFonts w:ascii="Avenir Next LT Pro Light" w:hAnsi="Avenir Next LT Pro Light"/>
          <w:color w:val="auto"/>
          <w:sz w:val="21"/>
          <w:szCs w:val="21"/>
        </w:rPr>
      </w:pPr>
    </w:p>
    <w:p w14:paraId="46CA10AF" w14:textId="5BABF4FA" w:rsidR="0008762F" w:rsidRPr="00A265B5" w:rsidRDefault="00F83C0B" w:rsidP="00ED158A">
      <w:pPr>
        <w:pStyle w:val="Section-Level2"/>
        <w:numPr>
          <w:ilvl w:val="0"/>
          <w:numId w:val="0"/>
        </w:numPr>
        <w:ind w:left="1134"/>
        <w:rPr>
          <w:rFonts w:ascii="Avenir Next LT Pro Light" w:hAnsi="Avenir Next LT Pro Light"/>
          <w:color w:val="auto"/>
          <w:sz w:val="21"/>
          <w:szCs w:val="21"/>
        </w:rPr>
      </w:pPr>
      <w:r w:rsidRPr="00A265B5">
        <w:rPr>
          <w:rFonts w:ascii="Avenir Next LT Pro Light" w:hAnsi="Avenir Next LT Pro Light"/>
          <w:color w:val="auto"/>
          <w:sz w:val="21"/>
          <w:szCs w:val="21"/>
        </w:rPr>
        <w:t>where A is the number of teachers and support staff weighted as provided in paragraph 7.3, and B is the number of pupils at the school weighted as provided in paragraph 7.4.</w:t>
      </w:r>
    </w:p>
    <w:p w14:paraId="37C61F83" w14:textId="11022F34"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weighting for a teacher is two units for each full-time equivalent teacher, and the weighting for each support staff member is one unit for each full-time equivalent individual.</w:t>
      </w:r>
    </w:p>
    <w:p w14:paraId="46B3A9C0" w14:textId="1F736291"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weighting for a full-time pupil is one unit and the weighting for a part-time pupil is half a unit.</w:t>
      </w:r>
    </w:p>
    <w:p w14:paraId="4A9CFD8D" w14:textId="75283A1A"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calculate the staff-pupil ratio modifier in accordance with the following table by reference to the staff-pupil ratio determined in accordance with paragraphs 7.2 to 7.4:</w:t>
      </w:r>
    </w:p>
    <w:tbl>
      <w:tblPr>
        <w:tblStyle w:val="EPMTableStyle"/>
        <w:tblW w:w="6379" w:type="dxa"/>
        <w:tblInd w:w="1134" w:type="dxa"/>
        <w:tblLook w:val="04A0" w:firstRow="1" w:lastRow="0" w:firstColumn="1" w:lastColumn="0" w:noHBand="0" w:noVBand="1"/>
      </w:tblPr>
      <w:tblGrid>
        <w:gridCol w:w="3261"/>
        <w:gridCol w:w="3118"/>
      </w:tblGrid>
      <w:tr w:rsidR="00F83C0B" w:rsidRPr="00DD5C68" w14:paraId="73233A17" w14:textId="77777777" w:rsidTr="00ED158A">
        <w:trPr>
          <w:cnfStyle w:val="100000000000" w:firstRow="1" w:lastRow="0" w:firstColumn="0" w:lastColumn="0" w:oddVBand="0" w:evenVBand="0" w:oddHBand="0" w:evenHBand="0" w:firstRowFirstColumn="0" w:firstRowLastColumn="0" w:lastRowFirstColumn="0" w:lastRowLastColumn="0"/>
        </w:trPr>
        <w:tc>
          <w:tcPr>
            <w:tcW w:w="3261" w:type="dxa"/>
          </w:tcPr>
          <w:p w14:paraId="74C89B4A"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br w:type="page"/>
              <w:t>Staff-pupil Ratio</w:t>
            </w:r>
          </w:p>
        </w:tc>
        <w:tc>
          <w:tcPr>
            <w:tcW w:w="3118" w:type="dxa"/>
          </w:tcPr>
          <w:p w14:paraId="4EFA4B2F"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Staff-pupil Ratio Modifier</w:t>
            </w:r>
          </w:p>
        </w:tc>
      </w:tr>
      <w:tr w:rsidR="00F83C0B" w:rsidRPr="00E470FC" w14:paraId="6C0C3AEE" w14:textId="77777777" w:rsidTr="00ED158A">
        <w:tc>
          <w:tcPr>
            <w:tcW w:w="3261" w:type="dxa"/>
          </w:tcPr>
          <w:p w14:paraId="29787367"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1 - 20%</w:t>
            </w:r>
          </w:p>
        </w:tc>
        <w:tc>
          <w:tcPr>
            <w:tcW w:w="3118" w:type="dxa"/>
          </w:tcPr>
          <w:p w14:paraId="0CEFF164"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w:t>
            </w:r>
          </w:p>
        </w:tc>
      </w:tr>
      <w:tr w:rsidR="00F83C0B" w:rsidRPr="00E470FC" w14:paraId="7544666C" w14:textId="77777777" w:rsidTr="00ED158A">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auto"/>
          </w:tcPr>
          <w:p w14:paraId="2C3D9FBE"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lastRenderedPageBreak/>
              <w:t>21 - 35%</w:t>
            </w:r>
          </w:p>
        </w:tc>
        <w:tc>
          <w:tcPr>
            <w:tcW w:w="3118" w:type="dxa"/>
            <w:shd w:val="clear" w:color="auto" w:fill="auto"/>
          </w:tcPr>
          <w:p w14:paraId="5326096C"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2</w:t>
            </w:r>
          </w:p>
        </w:tc>
      </w:tr>
      <w:tr w:rsidR="00F83C0B" w:rsidRPr="00E470FC" w14:paraId="6B0F4BBD" w14:textId="77777777" w:rsidTr="00ED158A">
        <w:tc>
          <w:tcPr>
            <w:tcW w:w="3261" w:type="dxa"/>
          </w:tcPr>
          <w:p w14:paraId="5C1A368B"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36 - 50%</w:t>
            </w:r>
          </w:p>
        </w:tc>
        <w:tc>
          <w:tcPr>
            <w:tcW w:w="3118" w:type="dxa"/>
          </w:tcPr>
          <w:p w14:paraId="74AB4F54"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3</w:t>
            </w:r>
          </w:p>
        </w:tc>
      </w:tr>
      <w:tr w:rsidR="00F83C0B" w:rsidRPr="00E470FC" w14:paraId="77559551" w14:textId="77777777" w:rsidTr="00ED158A">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auto"/>
          </w:tcPr>
          <w:p w14:paraId="44D9862C"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51 - 65%</w:t>
            </w:r>
          </w:p>
        </w:tc>
        <w:tc>
          <w:tcPr>
            <w:tcW w:w="3118" w:type="dxa"/>
            <w:shd w:val="clear" w:color="auto" w:fill="auto"/>
          </w:tcPr>
          <w:p w14:paraId="67FD3134"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4</w:t>
            </w:r>
          </w:p>
        </w:tc>
      </w:tr>
      <w:tr w:rsidR="00F83C0B" w:rsidRPr="00E470FC" w14:paraId="0B6F3C71" w14:textId="77777777" w:rsidTr="00ED158A">
        <w:tc>
          <w:tcPr>
            <w:tcW w:w="3261" w:type="dxa"/>
          </w:tcPr>
          <w:p w14:paraId="294E472D"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66 - 80%</w:t>
            </w:r>
          </w:p>
        </w:tc>
        <w:tc>
          <w:tcPr>
            <w:tcW w:w="3118" w:type="dxa"/>
          </w:tcPr>
          <w:p w14:paraId="3B0D61D7"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5</w:t>
            </w:r>
          </w:p>
        </w:tc>
      </w:tr>
      <w:tr w:rsidR="00F83C0B" w:rsidRPr="00E470FC" w14:paraId="3FDB743E" w14:textId="77777777" w:rsidTr="00ED158A">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auto"/>
          </w:tcPr>
          <w:p w14:paraId="456E6B88" w14:textId="77777777" w:rsidR="00F83C0B" w:rsidRPr="00A265B5" w:rsidRDefault="00F83C0B" w:rsidP="00F83C0B">
            <w:pPr>
              <w:pStyle w:val="Section-Level2"/>
              <w:numPr>
                <w:ilvl w:val="0"/>
                <w:numId w:val="0"/>
              </w:numPr>
              <w:spacing w:after="60"/>
              <w:ind w:left="1034" w:hanging="1034"/>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81% or more</w:t>
            </w:r>
          </w:p>
        </w:tc>
        <w:tc>
          <w:tcPr>
            <w:tcW w:w="3118" w:type="dxa"/>
            <w:shd w:val="clear" w:color="auto" w:fill="auto"/>
          </w:tcPr>
          <w:p w14:paraId="382007E3" w14:textId="77777777" w:rsidR="00F83C0B" w:rsidRPr="00A265B5" w:rsidRDefault="00F83C0B" w:rsidP="00F83C0B">
            <w:pPr>
              <w:pStyle w:val="Section-Level2"/>
              <w:numPr>
                <w:ilvl w:val="0"/>
                <w:numId w:val="0"/>
              </w:numPr>
              <w:spacing w:after="60"/>
              <w:ind w:left="1034" w:hanging="1034"/>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6</w:t>
            </w:r>
          </w:p>
        </w:tc>
      </w:tr>
    </w:tbl>
    <w:p w14:paraId="7932539B" w14:textId="43EFB37C" w:rsidR="00F83C0B" w:rsidRPr="00A265B5" w:rsidRDefault="00F83C0B" w:rsidP="00ED158A">
      <w:pPr>
        <w:pStyle w:val="EPMNumberedSubheading"/>
        <w:ind w:left="1134" w:right="-29" w:hanging="425"/>
        <w:jc w:val="both"/>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relevant body must determine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total unit score in accordance with the number of pupils on the school register calculated as follows:</w:t>
      </w:r>
    </w:p>
    <w:tbl>
      <w:tblPr>
        <w:tblStyle w:val="EPMTableStyle"/>
        <w:tblW w:w="8222" w:type="dxa"/>
        <w:tblInd w:w="1134" w:type="dxa"/>
        <w:tblLook w:val="04A0" w:firstRow="1" w:lastRow="0" w:firstColumn="1" w:lastColumn="0" w:noHBand="0" w:noVBand="1"/>
      </w:tblPr>
      <w:tblGrid>
        <w:gridCol w:w="5812"/>
        <w:gridCol w:w="2410"/>
      </w:tblGrid>
      <w:tr w:rsidR="00F83C0B" w:rsidRPr="00DD5C68" w14:paraId="08207157" w14:textId="77777777" w:rsidTr="00ED158A">
        <w:trPr>
          <w:cnfStyle w:val="100000000000" w:firstRow="1" w:lastRow="0" w:firstColumn="0" w:lastColumn="0" w:oddVBand="0" w:evenVBand="0" w:oddHBand="0" w:evenHBand="0" w:firstRowFirstColumn="0" w:firstRowLastColumn="0" w:lastRowFirstColumn="0" w:lastRowLastColumn="0"/>
        </w:trPr>
        <w:tc>
          <w:tcPr>
            <w:tcW w:w="5812" w:type="dxa"/>
          </w:tcPr>
          <w:p w14:paraId="4EF7CA9E"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Key Stage (KS)</w:t>
            </w:r>
          </w:p>
        </w:tc>
        <w:tc>
          <w:tcPr>
            <w:tcW w:w="2410" w:type="dxa"/>
          </w:tcPr>
          <w:p w14:paraId="1324DC34" w14:textId="77777777" w:rsidR="00F83C0B" w:rsidRPr="005F6A48" w:rsidRDefault="00F83C0B" w:rsidP="005F6A48">
            <w:pPr>
              <w:pStyle w:val="TableHeader"/>
              <w:spacing w:before="120" w:after="120" w:line="240" w:lineRule="auto"/>
              <w:jc w:val="center"/>
              <w:rPr>
                <w:rFonts w:ascii="Avenir Next LT Pro Demi" w:hAnsi="Avenir Next LT Pro Demi" w:cstheme="minorHAnsi"/>
                <w:sz w:val="21"/>
                <w:szCs w:val="21"/>
              </w:rPr>
            </w:pPr>
            <w:r w:rsidRPr="005F6A48">
              <w:rPr>
                <w:rFonts w:ascii="Avenir Next LT Pro Demi" w:hAnsi="Avenir Next LT Pro Demi" w:cstheme="minorHAnsi"/>
                <w:sz w:val="21"/>
                <w:szCs w:val="21"/>
              </w:rPr>
              <w:t>Units Per Pupil</w:t>
            </w:r>
          </w:p>
        </w:tc>
      </w:tr>
      <w:tr w:rsidR="00F83C0B" w:rsidRPr="00DD5C68" w14:paraId="181BE24C" w14:textId="77777777" w:rsidTr="00ED158A">
        <w:tc>
          <w:tcPr>
            <w:tcW w:w="5812" w:type="dxa"/>
          </w:tcPr>
          <w:p w14:paraId="5FA8BDCB" w14:textId="77777777" w:rsidR="00F83C0B" w:rsidRPr="00A265B5" w:rsidRDefault="00F83C0B" w:rsidP="009D22B7">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preliminary stage and each pupil in the first or second key stage</w:t>
            </w:r>
          </w:p>
        </w:tc>
        <w:tc>
          <w:tcPr>
            <w:tcW w:w="2410" w:type="dxa"/>
          </w:tcPr>
          <w:p w14:paraId="6785EE82" w14:textId="77777777" w:rsidR="00F83C0B" w:rsidRPr="00A265B5" w:rsidRDefault="00F83C0B" w:rsidP="009D22B7">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10</w:t>
            </w:r>
          </w:p>
        </w:tc>
      </w:tr>
      <w:tr w:rsidR="00F83C0B" w:rsidRPr="00DD5C68" w14:paraId="2EC999CB" w14:textId="77777777" w:rsidTr="00ED158A">
        <w:trPr>
          <w:cnfStyle w:val="000000010000" w:firstRow="0" w:lastRow="0" w:firstColumn="0" w:lastColumn="0" w:oddVBand="0" w:evenVBand="0" w:oddHBand="0" w:evenHBand="1" w:firstRowFirstColumn="0" w:firstRowLastColumn="0" w:lastRowFirstColumn="0" w:lastRowLastColumn="0"/>
        </w:trPr>
        <w:tc>
          <w:tcPr>
            <w:tcW w:w="5812" w:type="dxa"/>
            <w:shd w:val="clear" w:color="auto" w:fill="auto"/>
          </w:tcPr>
          <w:p w14:paraId="00C534C3" w14:textId="77777777" w:rsidR="00F83C0B" w:rsidRPr="00A265B5" w:rsidRDefault="00F83C0B" w:rsidP="009D22B7">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third key stage</w:t>
            </w:r>
          </w:p>
        </w:tc>
        <w:tc>
          <w:tcPr>
            <w:tcW w:w="2410" w:type="dxa"/>
            <w:shd w:val="clear" w:color="auto" w:fill="auto"/>
          </w:tcPr>
          <w:p w14:paraId="2885C454" w14:textId="77777777" w:rsidR="00F83C0B" w:rsidRPr="00A265B5" w:rsidRDefault="00F83C0B" w:rsidP="009D22B7">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12</w:t>
            </w:r>
          </w:p>
        </w:tc>
      </w:tr>
      <w:tr w:rsidR="00F83C0B" w:rsidRPr="00DD5C68" w14:paraId="51B5DB01" w14:textId="77777777" w:rsidTr="00ED158A">
        <w:tc>
          <w:tcPr>
            <w:tcW w:w="5812" w:type="dxa"/>
          </w:tcPr>
          <w:p w14:paraId="071DC678" w14:textId="77777777" w:rsidR="00F83C0B" w:rsidRPr="00A265B5" w:rsidRDefault="00F83C0B" w:rsidP="009D22B7">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fourth key stage</w:t>
            </w:r>
          </w:p>
        </w:tc>
        <w:tc>
          <w:tcPr>
            <w:tcW w:w="2410" w:type="dxa"/>
          </w:tcPr>
          <w:p w14:paraId="1C53B0E4" w14:textId="77777777" w:rsidR="00F83C0B" w:rsidRPr="00A265B5" w:rsidRDefault="00F83C0B" w:rsidP="009D22B7">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14</w:t>
            </w:r>
          </w:p>
        </w:tc>
      </w:tr>
      <w:tr w:rsidR="00F83C0B" w:rsidRPr="00DD5C68" w14:paraId="1936DD8F" w14:textId="77777777" w:rsidTr="00ED158A">
        <w:trPr>
          <w:cnfStyle w:val="000000010000" w:firstRow="0" w:lastRow="0" w:firstColumn="0" w:lastColumn="0" w:oddVBand="0" w:evenVBand="0" w:oddHBand="0" w:evenHBand="1" w:firstRowFirstColumn="0" w:firstRowLastColumn="0" w:lastRowFirstColumn="0" w:lastRowLastColumn="0"/>
        </w:trPr>
        <w:tc>
          <w:tcPr>
            <w:tcW w:w="5812" w:type="dxa"/>
            <w:shd w:val="clear" w:color="auto" w:fill="auto"/>
          </w:tcPr>
          <w:p w14:paraId="489F9216" w14:textId="77777777" w:rsidR="00F83C0B" w:rsidRPr="00A265B5" w:rsidRDefault="00F83C0B" w:rsidP="009D22B7">
            <w:pPr>
              <w:pStyle w:val="Section-Level2"/>
              <w:numPr>
                <w:ilvl w:val="0"/>
                <w:numId w:val="0"/>
              </w:numPr>
              <w:spacing w:after="60"/>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For each pupil in the fifth key stage</w:t>
            </w:r>
          </w:p>
        </w:tc>
        <w:tc>
          <w:tcPr>
            <w:tcW w:w="2410" w:type="dxa"/>
            <w:shd w:val="clear" w:color="auto" w:fill="auto"/>
          </w:tcPr>
          <w:p w14:paraId="2CB43A8C" w14:textId="77777777" w:rsidR="00F83C0B" w:rsidRPr="00A265B5" w:rsidRDefault="00F83C0B" w:rsidP="009D22B7">
            <w:pPr>
              <w:pStyle w:val="Section-Level2"/>
              <w:numPr>
                <w:ilvl w:val="0"/>
                <w:numId w:val="0"/>
              </w:numPr>
              <w:spacing w:after="60"/>
              <w:jc w:val="center"/>
              <w:rPr>
                <w:rFonts w:ascii="Avenir Next LT Pro Light" w:hAnsi="Avenir Next LT Pro Light"/>
                <w:b w:val="0"/>
                <w:bCs/>
                <w:color w:val="auto"/>
                <w:sz w:val="21"/>
                <w:szCs w:val="21"/>
              </w:rPr>
            </w:pPr>
            <w:r w:rsidRPr="00A265B5">
              <w:rPr>
                <w:rFonts w:ascii="Avenir Next LT Pro Light" w:hAnsi="Avenir Next LT Pro Light"/>
                <w:b w:val="0"/>
                <w:bCs/>
                <w:color w:val="auto"/>
                <w:sz w:val="21"/>
                <w:szCs w:val="21"/>
              </w:rPr>
              <w:t>16</w:t>
            </w:r>
          </w:p>
        </w:tc>
      </w:tr>
    </w:tbl>
    <w:p w14:paraId="37F50CC6" w14:textId="77777777" w:rsidR="00F83C0B" w:rsidRPr="00A265B5" w:rsidRDefault="00F83C0B" w:rsidP="00F83C0B">
      <w:pPr>
        <w:pStyle w:val="Section-Level2"/>
        <w:numPr>
          <w:ilvl w:val="0"/>
          <w:numId w:val="0"/>
        </w:numPr>
        <w:ind w:left="1418" w:hanging="811"/>
        <w:rPr>
          <w:rFonts w:ascii="Avenir Next LT Pro Light" w:hAnsi="Avenir Next LT Pro Light"/>
          <w:color w:val="auto"/>
          <w:sz w:val="21"/>
          <w:szCs w:val="21"/>
        </w:rPr>
      </w:pPr>
    </w:p>
    <w:p w14:paraId="19924504" w14:textId="77777777" w:rsidR="008D0CAA" w:rsidRPr="00A265B5" w:rsidRDefault="008D0CAA" w:rsidP="008D0CAA">
      <w:pPr>
        <w:pStyle w:val="Section-Level2"/>
        <w:numPr>
          <w:ilvl w:val="0"/>
          <w:numId w:val="0"/>
        </w:numPr>
        <w:ind w:left="1418" w:hanging="811"/>
        <w:rPr>
          <w:rFonts w:ascii="Avenir Next LT Pro Light" w:hAnsi="Avenir Next LT Pro Light"/>
          <w:color w:val="auto"/>
          <w:sz w:val="21"/>
          <w:szCs w:val="21"/>
        </w:rPr>
      </w:pPr>
      <w:r w:rsidRPr="00A265B5">
        <w:rPr>
          <w:rFonts w:ascii="Avenir Next LT Pro Light" w:hAnsi="Avenir Next LT Pro Light"/>
          <w:color w:val="auto"/>
          <w:sz w:val="21"/>
          <w:szCs w:val="21"/>
        </w:rPr>
        <w:t>7.7.</w:t>
      </w:r>
      <w:r w:rsidRPr="00A265B5">
        <w:rPr>
          <w:rFonts w:ascii="Avenir Next LT Pro Light" w:hAnsi="Avenir Next LT Pro Light"/>
          <w:color w:val="auto"/>
          <w:sz w:val="21"/>
          <w:szCs w:val="21"/>
        </w:rPr>
        <w:tab/>
        <w:t xml:space="preserve">The relevant body must determine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modified total unit score by multiplying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total unit score determined under paragraph 7.6 by the staff-pupil ratio modifier calculated under paragraph 7.5.</w:t>
      </w:r>
    </w:p>
    <w:p w14:paraId="747520DD" w14:textId="77777777" w:rsidR="008D0CAA" w:rsidRPr="00A265B5" w:rsidRDefault="008D0CAA" w:rsidP="008D0CAA">
      <w:pPr>
        <w:pStyle w:val="Section-Level2"/>
        <w:numPr>
          <w:ilvl w:val="0"/>
          <w:numId w:val="0"/>
        </w:numPr>
        <w:ind w:left="607"/>
        <w:rPr>
          <w:rFonts w:ascii="Avenir Next LT Pro Light" w:hAnsi="Avenir Next LT Pro Light"/>
          <w:color w:val="auto"/>
          <w:sz w:val="21"/>
          <w:szCs w:val="21"/>
        </w:rPr>
      </w:pPr>
      <w:r w:rsidRPr="00A265B5">
        <w:rPr>
          <w:rFonts w:ascii="Avenir Next LT Pro Light" w:hAnsi="Avenir Next LT Pro Light"/>
          <w:color w:val="auto"/>
          <w:sz w:val="21"/>
          <w:szCs w:val="21"/>
        </w:rPr>
        <w:t>7.8.</w:t>
      </w:r>
      <w:r w:rsidRPr="00A265B5">
        <w:rPr>
          <w:rFonts w:ascii="Avenir Next LT Pro Light" w:hAnsi="Avenir Next LT Pro Light"/>
          <w:color w:val="auto"/>
          <w:sz w:val="21"/>
          <w:szCs w:val="21"/>
        </w:rPr>
        <w:tab/>
        <w:t>In this paragraph:</w:t>
      </w:r>
    </w:p>
    <w:p w14:paraId="4C7AA922" w14:textId="29664A6C" w:rsidR="008D0CAA" w:rsidRPr="00A265B5" w:rsidRDefault="008D0CAA" w:rsidP="00ED158A">
      <w:pPr>
        <w:pStyle w:val="Section-Level2"/>
        <w:numPr>
          <w:ilvl w:val="0"/>
          <w:numId w:val="34"/>
        </w:numPr>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number of pupils on the school register must be determined by the numbers as shown on the most recent return of the DfE School Census or the most recently available Welsh Government Annual School Census submitted to the DfE or Welsh Government respectively on behalf of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 and</w:t>
      </w:r>
    </w:p>
    <w:p w14:paraId="18B75818" w14:textId="5E5F18DB" w:rsidR="008D0CAA" w:rsidRPr="00A265B5" w:rsidRDefault="008D0CAA" w:rsidP="00ED158A">
      <w:pPr>
        <w:pStyle w:val="Section-Level2"/>
        <w:numPr>
          <w:ilvl w:val="0"/>
          <w:numId w:val="34"/>
        </w:numPr>
        <w:rPr>
          <w:rFonts w:ascii="Avenir Next LT Pro Light" w:hAnsi="Avenir Next LT Pro Light"/>
          <w:color w:val="auto"/>
          <w:sz w:val="21"/>
          <w:szCs w:val="21"/>
        </w:rPr>
      </w:pPr>
      <w:r w:rsidRPr="00A265B5">
        <w:rPr>
          <w:rFonts w:ascii="Avenir Next LT Pro Light" w:hAnsi="Avenir Next LT Pro Light"/>
          <w:color w:val="auto"/>
          <w:sz w:val="21"/>
          <w:szCs w:val="21"/>
        </w:rPr>
        <w:t>“</w:t>
      </w:r>
      <w:proofErr w:type="gramStart"/>
      <w:r w:rsidRPr="00A265B5">
        <w:rPr>
          <w:rFonts w:ascii="Avenir Next LT Pro Light" w:hAnsi="Avenir Next LT Pro Light"/>
          <w:color w:val="auto"/>
          <w:sz w:val="21"/>
          <w:szCs w:val="21"/>
        </w:rPr>
        <w:t>support</w:t>
      </w:r>
      <w:proofErr w:type="gramEnd"/>
      <w:r w:rsidRPr="00A265B5">
        <w:rPr>
          <w:rFonts w:ascii="Avenir Next LT Pro Light" w:hAnsi="Avenir Next LT Pro Light"/>
          <w:color w:val="auto"/>
          <w:sz w:val="21"/>
          <w:szCs w:val="21"/>
        </w:rPr>
        <w:t xml:space="preserve"> staff member” means an employee who is not:</w:t>
      </w:r>
    </w:p>
    <w:p w14:paraId="4CBB42EC" w14:textId="2235A8E9"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teacher</w:t>
      </w:r>
    </w:p>
    <w:p w14:paraId="47032609" w14:textId="045D1D38"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person employed in connection with the provision of meals</w:t>
      </w:r>
    </w:p>
    <w:p w14:paraId="5ED6F9FD" w14:textId="033693F0"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person employed in connection with the security or maintenance of the school premises or</w:t>
      </w:r>
    </w:p>
    <w:p w14:paraId="78414D20" w14:textId="5FD60034" w:rsidR="008D0CAA" w:rsidRPr="00A265B5" w:rsidRDefault="008D0CAA" w:rsidP="00ED158A">
      <w:pPr>
        <w:pStyle w:val="Section-Level2"/>
        <w:numPr>
          <w:ilvl w:val="1"/>
          <w:numId w:val="38"/>
        </w:numPr>
        <w:ind w:left="2694"/>
        <w:rPr>
          <w:rFonts w:ascii="Avenir Next LT Pro Light" w:hAnsi="Avenir Next LT Pro Light"/>
          <w:color w:val="auto"/>
          <w:sz w:val="21"/>
          <w:szCs w:val="21"/>
        </w:rPr>
      </w:pPr>
      <w:r w:rsidRPr="00A265B5">
        <w:rPr>
          <w:rFonts w:ascii="Avenir Next LT Pro Light" w:hAnsi="Avenir Next LT Pro Light"/>
          <w:color w:val="auto"/>
          <w:sz w:val="21"/>
          <w:szCs w:val="21"/>
        </w:rPr>
        <w:t>a person employed in a residential school to supervise and care for pupils out of school hours.</w:t>
      </w:r>
    </w:p>
    <w:p w14:paraId="12AD276A" w14:textId="1D21A602" w:rsidR="00F83C0B" w:rsidRPr="00A265B5" w:rsidRDefault="008D0CAA" w:rsidP="008D0CAA">
      <w:pPr>
        <w:pStyle w:val="Section-Level2"/>
        <w:numPr>
          <w:ilvl w:val="0"/>
          <w:numId w:val="0"/>
        </w:numPr>
        <w:ind w:left="1418" w:hanging="811"/>
        <w:rPr>
          <w:rFonts w:ascii="Avenir Next LT Pro Light" w:hAnsi="Avenir Next LT Pro Light"/>
          <w:color w:val="auto"/>
          <w:sz w:val="21"/>
          <w:szCs w:val="21"/>
        </w:rPr>
      </w:pPr>
      <w:r w:rsidRPr="00A265B5">
        <w:rPr>
          <w:rFonts w:ascii="Avenir Next LT Pro Light" w:hAnsi="Avenir Next LT Pro Light"/>
          <w:color w:val="auto"/>
          <w:sz w:val="21"/>
          <w:szCs w:val="21"/>
        </w:rPr>
        <w:t>7.9.</w:t>
      </w:r>
      <w:r w:rsidRPr="00A265B5">
        <w:rPr>
          <w:rFonts w:ascii="Avenir Next LT Pro Light" w:hAnsi="Avenir Next LT Pro Light"/>
          <w:color w:val="auto"/>
          <w:sz w:val="21"/>
          <w:szCs w:val="21"/>
        </w:rPr>
        <w:tab/>
        <w:t>Where the Headteacher is appointed as headteacher of more than one school on a permanent basis, the relevant body of the Headteacher’s original school or, under the Collaboration Regulations, the collaborating body must calculate the Headteacher group by combining the unit score of all the schools for which the Headteacher is responsible to arrive at a total unit score, which then determines the Headteacher group.</w:t>
      </w:r>
    </w:p>
    <w:p w14:paraId="2C4B1E4F" w14:textId="77777777" w:rsidR="008D0CAA" w:rsidRDefault="008D0CAA" w:rsidP="00E85133">
      <w:pPr>
        <w:pStyle w:val="EPMNumberedHeading"/>
      </w:pPr>
      <w:bookmarkStart w:id="7" w:name="_Toc55832567"/>
      <w:r>
        <w:lastRenderedPageBreak/>
        <w:t>Unit Totals and Headteacher Groups – Particular Cases</w:t>
      </w:r>
      <w:bookmarkEnd w:id="7"/>
    </w:p>
    <w:p w14:paraId="58D67891" w14:textId="125469A4" w:rsidR="008D0CAA" w:rsidRPr="00A265B5" w:rsidRDefault="008D0CAA" w:rsidP="008D0CAA">
      <w:pPr>
        <w:spacing w:after="120"/>
        <w:ind w:left="720"/>
        <w:rPr>
          <w:rFonts w:ascii="Avenir Next LT Pro Light" w:hAnsi="Avenir Next LT Pro Light"/>
          <w:sz w:val="21"/>
          <w:szCs w:val="21"/>
        </w:rPr>
      </w:pPr>
      <w:r w:rsidRPr="00A265B5">
        <w:rPr>
          <w:rFonts w:ascii="Avenir Next LT Pro Light" w:hAnsi="Avenir Next LT Pro Light"/>
          <w:sz w:val="21"/>
          <w:szCs w:val="21"/>
        </w:rPr>
        <w:t xml:space="preserve">Expected changes in number of registered pupils and teaching </w:t>
      </w:r>
      <w:r w:rsidR="00ED158A" w:rsidRPr="00A265B5">
        <w:rPr>
          <w:rFonts w:ascii="Avenir Next LT Pro Light" w:hAnsi="Avenir Next LT Pro Light"/>
          <w:sz w:val="21"/>
          <w:szCs w:val="21"/>
        </w:rPr>
        <w:t>establishments.</w:t>
      </w:r>
      <w:r w:rsidRPr="00A265B5">
        <w:rPr>
          <w:rFonts w:ascii="Avenir Next LT Pro Light" w:hAnsi="Avenir Next LT Pro Light"/>
          <w:sz w:val="21"/>
          <w:szCs w:val="21"/>
        </w:rPr>
        <w:t xml:space="preserve"> </w:t>
      </w:r>
    </w:p>
    <w:p w14:paraId="52ED1BAD"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8.1.</w:t>
      </w:r>
      <w:r w:rsidRPr="00A265B5">
        <w:rPr>
          <w:rFonts w:ascii="Avenir Next LT Pro Light" w:hAnsi="Avenir Next LT Pro Light"/>
          <w:color w:val="auto"/>
          <w:sz w:val="21"/>
          <w:szCs w:val="21"/>
        </w:rPr>
        <w:tab/>
        <w:t xml:space="preserve">Subject to paragraph 8.2, where in the case of an ordinary school the total unit score and in the case of a special school the modified total unit score is expected by the relevant body to rise or fall after the date to which the assignment refers, the relevant body may instead assign the school to the appropriate group which would result after the expected change in numbers has taken place. </w:t>
      </w:r>
    </w:p>
    <w:p w14:paraId="453BD163" w14:textId="6D4B9349" w:rsidR="008D0CAA"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8.2.</w:t>
      </w:r>
      <w:r w:rsidRPr="00A265B5">
        <w:rPr>
          <w:rFonts w:ascii="Avenir Next LT Pro Light" w:hAnsi="Avenir Next LT Pro Light"/>
          <w:color w:val="auto"/>
          <w:sz w:val="21"/>
          <w:szCs w:val="21"/>
        </w:rPr>
        <w:tab/>
        <w:t>Where the relevant body is the Governing Body of a school which has a delegated budget, no assignment may be made until the authority has been consulted.</w:t>
      </w:r>
    </w:p>
    <w:p w14:paraId="06B8CCF1" w14:textId="77777777" w:rsidR="00F91891" w:rsidRPr="00430BB9" w:rsidRDefault="00F91891" w:rsidP="77A1DB2B">
      <w:pPr>
        <w:pStyle w:val="EPMSubheading"/>
        <w:rPr>
          <w:color w:val="242E54"/>
          <w:sz w:val="28"/>
          <w:szCs w:val="28"/>
        </w:rPr>
      </w:pPr>
      <w:r w:rsidRPr="77A1DB2B">
        <w:rPr>
          <w:color w:val="242E54"/>
          <w:sz w:val="28"/>
          <w:szCs w:val="28"/>
        </w:rPr>
        <w:t xml:space="preserve">Pay Progression </w:t>
      </w:r>
    </w:p>
    <w:p w14:paraId="7A9ADE1D" w14:textId="4F027903" w:rsidR="00F91891" w:rsidRDefault="00B25B23" w:rsidP="77A1DB2B">
      <w:pPr>
        <w:pStyle w:val="Section-Level2"/>
        <w:numPr>
          <w:ilvl w:val="0"/>
          <w:numId w:val="0"/>
        </w:numPr>
        <w:rPr>
          <w:rFonts w:ascii="Avenir Next LT Pro Light" w:hAnsi="Avenir Next LT Pro Light"/>
          <w:color w:val="auto"/>
          <w:sz w:val="21"/>
          <w:szCs w:val="21"/>
        </w:rPr>
      </w:pPr>
      <w:r w:rsidRPr="77A1DB2B">
        <w:rPr>
          <w:rFonts w:ascii="Avenir Next LT Pro Light" w:hAnsi="Avenir Next LT Pro Light"/>
          <w:color w:val="auto"/>
          <w:sz w:val="21"/>
          <w:szCs w:val="21"/>
        </w:rPr>
        <w:t>T</w:t>
      </w:r>
      <w:r w:rsidR="00F91891" w:rsidRPr="77A1DB2B">
        <w:rPr>
          <w:rFonts w:ascii="Avenir Next LT Pro Light" w:hAnsi="Avenir Next LT Pro Light"/>
          <w:color w:val="auto"/>
          <w:sz w:val="21"/>
          <w:szCs w:val="21"/>
        </w:rPr>
        <w:t>he STPCD allows Governing Bodies to move wholly or partially away from performance related pay should they wish to for all teaching staff. Schools should review and update their pay policies annually to ensure that they remain fit for purpose, with any links between achievement and pay being clearly identified.</w:t>
      </w:r>
    </w:p>
    <w:p w14:paraId="2247F0F4" w14:textId="0B9E65F2" w:rsidR="00F91891" w:rsidRPr="00A265B5" w:rsidRDefault="00F91891" w:rsidP="00F91891">
      <w:pPr>
        <w:pStyle w:val="Section-Level2"/>
        <w:numPr>
          <w:ilvl w:val="0"/>
          <w:numId w:val="0"/>
        </w:numPr>
        <w:rPr>
          <w:rFonts w:ascii="Avenir Next LT Pro Light" w:hAnsi="Avenir Next LT Pro Light"/>
          <w:color w:val="auto"/>
          <w:sz w:val="21"/>
          <w:szCs w:val="21"/>
        </w:rPr>
      </w:pPr>
      <w:r w:rsidRPr="77A1DB2B">
        <w:rPr>
          <w:rFonts w:ascii="Avenir Next LT Pro Light" w:hAnsi="Avenir Next LT Pro Light"/>
          <w:color w:val="auto"/>
          <w:sz w:val="21"/>
          <w:szCs w:val="21"/>
        </w:rPr>
        <w:t xml:space="preserve">You have the freedom to award progression increases as you judge appropriate in your </w:t>
      </w:r>
      <w:proofErr w:type="gramStart"/>
      <w:r w:rsidRPr="77A1DB2B">
        <w:rPr>
          <w:rFonts w:ascii="Avenir Next LT Pro Light" w:hAnsi="Avenir Next LT Pro Light"/>
          <w:color w:val="auto"/>
          <w:sz w:val="21"/>
          <w:szCs w:val="21"/>
        </w:rPr>
        <w:t>particular circumstances</w:t>
      </w:r>
      <w:proofErr w:type="gramEnd"/>
      <w:r w:rsidRPr="77A1DB2B">
        <w:rPr>
          <w:rFonts w:ascii="Avenir Next LT Pro Light" w:hAnsi="Avenir Next LT Pro Light"/>
          <w:color w:val="auto"/>
          <w:sz w:val="21"/>
          <w:szCs w:val="21"/>
        </w:rPr>
        <w:t>, and to differentiate where necessary</w:t>
      </w:r>
      <w:r w:rsidR="00B25B23" w:rsidRPr="77A1DB2B">
        <w:rPr>
          <w:rFonts w:ascii="Avenir Next LT Pro Light" w:hAnsi="Avenir Next LT Pro Light"/>
          <w:color w:val="auto"/>
          <w:sz w:val="21"/>
          <w:szCs w:val="21"/>
        </w:rPr>
        <w:t>.</w:t>
      </w:r>
      <w:r w:rsidRPr="77A1DB2B">
        <w:rPr>
          <w:rFonts w:ascii="Avenir Next LT Pro Light" w:hAnsi="Avenir Next LT Pro Light"/>
          <w:color w:val="auto"/>
          <w:sz w:val="21"/>
          <w:szCs w:val="21"/>
        </w:rPr>
        <w:t xml:space="preserve"> Although no progression award should be made if it is not justified, you may find it helpful to indicate the pay level that might be achieved after a certain period, subject to sustained, high-quality performance, through the establishment of pay points on those ranges which will be used by the </w:t>
      </w:r>
      <w:proofErr w:type="gramStart"/>
      <w:r w:rsidRPr="77A1DB2B">
        <w:rPr>
          <w:rFonts w:ascii="Avenir Next LT Pro Light" w:hAnsi="Avenir Next LT Pro Light"/>
          <w:color w:val="auto"/>
          <w:sz w:val="21"/>
          <w:szCs w:val="21"/>
        </w:rPr>
        <w:t>School</w:t>
      </w:r>
      <w:proofErr w:type="gramEnd"/>
      <w:r w:rsidRPr="77A1DB2B">
        <w:rPr>
          <w:rFonts w:ascii="Avenir Next LT Pro Light" w:hAnsi="Avenir Next LT Pro Light"/>
          <w:color w:val="auto"/>
          <w:sz w:val="21"/>
          <w:szCs w:val="21"/>
        </w:rPr>
        <w:t>.</w:t>
      </w:r>
    </w:p>
    <w:p w14:paraId="33290DCC" w14:textId="451D1EEC" w:rsidR="005B0559" w:rsidRPr="005B0559" w:rsidRDefault="005B0559" w:rsidP="00E85133">
      <w:pPr>
        <w:pStyle w:val="EPMNumberedHeading"/>
      </w:pPr>
      <w:r w:rsidRPr="005B0559">
        <w:tab/>
        <w:t>Determination of Leadership Pay Ranges</w:t>
      </w:r>
    </w:p>
    <w:p w14:paraId="49031942"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5B0559">
        <w:rPr>
          <w:rFonts w:ascii="Avenir Next LT Pro Light" w:hAnsi="Avenir Next LT Pro Light"/>
          <w:sz w:val="21"/>
          <w:szCs w:val="21"/>
        </w:rPr>
        <w:t>9.1.</w:t>
      </w:r>
      <w:r w:rsidRPr="005B0559">
        <w:rPr>
          <w:rFonts w:ascii="Avenir Next LT Pro Light" w:hAnsi="Avenir Next LT Pro Light"/>
          <w:sz w:val="21"/>
          <w:szCs w:val="21"/>
        </w:rPr>
        <w:tab/>
      </w:r>
      <w:r w:rsidRPr="00A265B5">
        <w:rPr>
          <w:rFonts w:ascii="Avenir Next LT Pro Light" w:hAnsi="Avenir Next LT Pro Light"/>
          <w:color w:val="auto"/>
          <w:sz w:val="21"/>
          <w:szCs w:val="21"/>
        </w:rPr>
        <w:t>The relevant body must determine pay ranges for the Headteacher and for Deputy Headteachers and Assistant Headteachers in accordance with paragraphs 9.2 to 9.4.</w:t>
      </w:r>
    </w:p>
    <w:p w14:paraId="16ECE420"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9.2.</w:t>
      </w:r>
      <w:r w:rsidRPr="00A265B5">
        <w:rPr>
          <w:rFonts w:ascii="Avenir Next LT Pro Light" w:hAnsi="Avenir Next LT Pro Light"/>
          <w:color w:val="auto"/>
          <w:sz w:val="21"/>
          <w:szCs w:val="21"/>
        </w:rPr>
        <w:tab/>
        <w:t xml:space="preserve">When determining an appropriate pay range, the relevant body must </w:t>
      </w:r>
      <w:proofErr w:type="gramStart"/>
      <w:r w:rsidRPr="00A265B5">
        <w:rPr>
          <w:rFonts w:ascii="Avenir Next LT Pro Light" w:hAnsi="Avenir Next LT Pro Light"/>
          <w:color w:val="auto"/>
          <w:sz w:val="21"/>
          <w:szCs w:val="21"/>
        </w:rPr>
        <w:t>take into account</w:t>
      </w:r>
      <w:proofErr w:type="gramEnd"/>
      <w:r w:rsidRPr="00A265B5">
        <w:rPr>
          <w:rFonts w:ascii="Avenir Next LT Pro Light" w:hAnsi="Avenir Next LT Pro Light"/>
          <w:color w:val="auto"/>
          <w:sz w:val="21"/>
          <w:szCs w:val="21"/>
        </w:rPr>
        <w:t xml:space="preserve"> </w:t>
      </w:r>
      <w:proofErr w:type="gramStart"/>
      <w:r w:rsidRPr="00A265B5">
        <w:rPr>
          <w:rFonts w:ascii="Avenir Next LT Pro Light" w:hAnsi="Avenir Next LT Pro Light"/>
          <w:color w:val="auto"/>
          <w:sz w:val="21"/>
          <w:szCs w:val="21"/>
        </w:rPr>
        <w:t>all of</w:t>
      </w:r>
      <w:proofErr w:type="gramEnd"/>
      <w:r w:rsidRPr="00A265B5">
        <w:rPr>
          <w:rFonts w:ascii="Avenir Next LT Pro Light" w:hAnsi="Avenir Next LT Pro Light"/>
          <w:color w:val="auto"/>
          <w:sz w:val="21"/>
          <w:szCs w:val="21"/>
        </w:rPr>
        <w:t xml:space="preserve"> the permanent responsibilities of the role, any challenges that are specific to the role, and all other relevant considerations. 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The relevant body must ensure that there is appropriate scope within the range to allow for performance-related progress over time.</w:t>
      </w:r>
    </w:p>
    <w:p w14:paraId="18F86FBA" w14:textId="77777777" w:rsidR="005B0559"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9.3.</w:t>
      </w:r>
      <w:r w:rsidRPr="00A265B5">
        <w:rPr>
          <w:rFonts w:ascii="Avenir Next LT Pro Light" w:hAnsi="Avenir Next LT Pro Light"/>
          <w:color w:val="auto"/>
          <w:sz w:val="21"/>
          <w:szCs w:val="21"/>
        </w:rPr>
        <w:tab/>
        <w:t xml:space="preserve">Pay ranges for headteachers should not normally exceed the maximum of the Headteacher group. However, the Headteacher’s pay range may exceed the maximum where the relevant body determines that circumstances specific to the role or candidate warrant a </w:t>
      </w:r>
      <w:proofErr w:type="gramStart"/>
      <w:r w:rsidRPr="00A265B5">
        <w:rPr>
          <w:rFonts w:ascii="Avenir Next LT Pro Light" w:hAnsi="Avenir Next LT Pro Light"/>
          <w:color w:val="auto"/>
          <w:sz w:val="21"/>
          <w:szCs w:val="21"/>
        </w:rPr>
        <w:t>higher than normal</w:t>
      </w:r>
      <w:proofErr w:type="gramEnd"/>
      <w:r w:rsidRPr="00A265B5">
        <w:rPr>
          <w:rFonts w:ascii="Avenir Next LT Pro Light" w:hAnsi="Avenir Next LT Pro Light"/>
          <w:color w:val="auto"/>
          <w:sz w:val="21"/>
          <w:szCs w:val="21"/>
        </w:rPr>
        <w:t xml:space="preserve"> payment. The relevant body must ensure that the maximum of the Headteacher’s pay </w:t>
      </w:r>
      <w:proofErr w:type="gramStart"/>
      <w:r w:rsidRPr="00A265B5">
        <w:rPr>
          <w:rFonts w:ascii="Avenir Next LT Pro Light" w:hAnsi="Avenir Next LT Pro Light"/>
          <w:color w:val="auto"/>
          <w:sz w:val="21"/>
          <w:szCs w:val="21"/>
        </w:rPr>
        <w:t>range</w:t>
      </w:r>
      <w:proofErr w:type="gramEnd"/>
      <w:r w:rsidRPr="00A265B5">
        <w:rPr>
          <w:rFonts w:ascii="Avenir Next LT Pro Light" w:hAnsi="Avenir Next LT Pro Light"/>
          <w:color w:val="auto"/>
          <w:sz w:val="21"/>
          <w:szCs w:val="21"/>
        </w:rPr>
        <w:t xml:space="preserve"> and any additional payments made under paragraph 10 does not exceed the maximum of the Headteacher group by more than 25% other than in exceptional circumstances; in such circumstances, the Governing Body must seek external independent advice before providing such agreement and support its decision with a business case.</w:t>
      </w:r>
    </w:p>
    <w:p w14:paraId="59C1A707" w14:textId="0DE2ECB8" w:rsidR="00F83C0B" w:rsidRPr="00A265B5" w:rsidRDefault="005B0559" w:rsidP="005B0559">
      <w:pPr>
        <w:pStyle w:val="Section-Level2"/>
        <w:numPr>
          <w:ilvl w:val="0"/>
          <w:numId w:val="0"/>
        </w:numPr>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9.4.</w:t>
      </w:r>
      <w:r w:rsidRPr="00A265B5">
        <w:rPr>
          <w:rFonts w:ascii="Avenir Next LT Pro Light" w:hAnsi="Avenir Next LT Pro Light"/>
          <w:color w:val="auto"/>
          <w:sz w:val="21"/>
          <w:szCs w:val="21"/>
        </w:rPr>
        <w:tab/>
        <w:t xml:space="preserve">The maximum of the Deputy or Assistant Headteacher’s pay range must not exceed the maximum of the Headteacher group for the </w:t>
      </w:r>
      <w:proofErr w:type="gramStart"/>
      <w:r w:rsidRPr="00A265B5">
        <w:rPr>
          <w:rFonts w:ascii="Avenir Next LT Pro Light" w:hAnsi="Avenir Next LT Pro Light"/>
          <w:color w:val="auto"/>
          <w:sz w:val="21"/>
          <w:szCs w:val="21"/>
        </w:rPr>
        <w:t>School</w:t>
      </w:r>
      <w:proofErr w:type="gramEnd"/>
      <w:r w:rsidRPr="00A265B5">
        <w:rPr>
          <w:rFonts w:ascii="Avenir Next LT Pro Light" w:hAnsi="Avenir Next LT Pro Light"/>
          <w:color w:val="auto"/>
          <w:sz w:val="21"/>
          <w:szCs w:val="21"/>
        </w:rPr>
        <w:t xml:space="preserve">, calculated in accordance </w:t>
      </w:r>
      <w:r w:rsidRPr="00A265B5">
        <w:rPr>
          <w:rFonts w:ascii="Avenir Next LT Pro Light" w:hAnsi="Avenir Next LT Pro Light"/>
          <w:color w:val="auto"/>
          <w:sz w:val="21"/>
          <w:szCs w:val="21"/>
        </w:rPr>
        <w:lastRenderedPageBreak/>
        <w:t>with paragraphs 6 to 8. The pay range for a deputy or assistant headteacher should only overlap the headteacher’s pay range in exceptional circumstances.</w:t>
      </w:r>
    </w:p>
    <w:p w14:paraId="178B27AC" w14:textId="77777777" w:rsidR="005B0559" w:rsidRDefault="005B0559" w:rsidP="00E85133">
      <w:pPr>
        <w:pStyle w:val="EPMNumberedHeading"/>
      </w:pPr>
      <w:bookmarkStart w:id="8" w:name="_Toc55832570"/>
      <w:r>
        <w:t xml:space="preserve">Determination </w:t>
      </w:r>
      <w:r w:rsidRPr="008B747A">
        <w:t>of</w:t>
      </w:r>
      <w:r>
        <w:t xml:space="preserve"> Temporary Payments to Headteachers</w:t>
      </w:r>
      <w:bookmarkEnd w:id="8"/>
      <w:r>
        <w:t xml:space="preserve"> </w:t>
      </w:r>
    </w:p>
    <w:p w14:paraId="507DA4E2" w14:textId="77777777" w:rsidR="005B0559" w:rsidRPr="00A265B5" w:rsidRDefault="005B0559" w:rsidP="005B0559">
      <w:pPr>
        <w:pStyle w:val="Section-Level2"/>
        <w:ind w:left="1418" w:hanging="709"/>
        <w:rPr>
          <w:color w:val="auto"/>
        </w:rPr>
      </w:pPr>
      <w:r w:rsidRPr="00A265B5">
        <w:rPr>
          <w:rFonts w:ascii="Avenir Next LT Pro Light" w:hAnsi="Avenir Next LT Pro Light"/>
          <w:color w:val="auto"/>
          <w:sz w:val="21"/>
          <w:szCs w:val="21"/>
        </w:rPr>
        <w:t>Subject to paragraphs 10.2 to 10.4, the relevant body may determine that 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r w:rsidRPr="00A265B5">
        <w:rPr>
          <w:color w:val="auto"/>
        </w:rPr>
        <w:t>.</w:t>
      </w:r>
    </w:p>
    <w:p w14:paraId="7F2B632A" w14:textId="77777777" w:rsidR="005B0559" w:rsidRPr="00A265B5" w:rsidRDefault="005B0559" w:rsidP="005B0559">
      <w:pPr>
        <w:pStyle w:val="Section-Level2"/>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Subject to paragraph 10.3, the total sum of the temporary payments made to a headteacher in accordance with paragraph 10.1 in any school year must not exceed 25% of the annual salary which is otherwise payable to the Headteacher, and the total sum of salary and other payments made to a headteacher must not exceed 25% above the maximum of the Headteacher group, except as set out in paragraph 10.4.</w:t>
      </w:r>
    </w:p>
    <w:p w14:paraId="3E884622" w14:textId="77777777" w:rsidR="005B0559" w:rsidRPr="00A265B5" w:rsidRDefault="005B0559" w:rsidP="005B0559">
      <w:pPr>
        <w:pStyle w:val="Section-Level2"/>
        <w:spacing w:after="120"/>
        <w:ind w:left="993" w:hanging="284"/>
        <w:rPr>
          <w:rFonts w:ascii="Avenir Next LT Pro Light" w:hAnsi="Avenir Next LT Pro Light"/>
          <w:color w:val="auto"/>
          <w:sz w:val="21"/>
          <w:szCs w:val="21"/>
        </w:rPr>
      </w:pPr>
      <w:r w:rsidRPr="00A265B5">
        <w:rPr>
          <w:rFonts w:ascii="Avenir Next LT Pro Light" w:hAnsi="Avenir Next LT Pro Light"/>
          <w:color w:val="auto"/>
          <w:sz w:val="21"/>
          <w:szCs w:val="21"/>
        </w:rPr>
        <w:t>Paragraph 10.2 does not apply to payments made in accordance with:</w:t>
      </w:r>
    </w:p>
    <w:p w14:paraId="0CF75435" w14:textId="77777777" w:rsidR="005B0559" w:rsidRPr="00A265B5" w:rsidRDefault="005B0559" w:rsidP="005B0559">
      <w:pPr>
        <w:pStyle w:val="Section-Level2"/>
        <w:numPr>
          <w:ilvl w:val="0"/>
          <w:numId w:val="21"/>
        </w:numPr>
        <w:spacing w:after="120"/>
        <w:ind w:left="1843" w:hanging="425"/>
        <w:rPr>
          <w:rFonts w:ascii="Avenir Next LT Pro Light" w:hAnsi="Avenir Next LT Pro Light"/>
          <w:color w:val="auto"/>
          <w:sz w:val="21"/>
          <w:szCs w:val="21"/>
        </w:rPr>
      </w:pPr>
      <w:r w:rsidRPr="00A265B5">
        <w:rPr>
          <w:rFonts w:ascii="Avenir Next LT Pro Light" w:hAnsi="Avenir Next LT Pro Light"/>
          <w:color w:val="auto"/>
          <w:sz w:val="21"/>
          <w:szCs w:val="21"/>
        </w:rPr>
        <w:t>paragraph 25 where those residential duties are a requirement of the post or</w:t>
      </w:r>
    </w:p>
    <w:p w14:paraId="07661E2B" w14:textId="77777777" w:rsidR="005B0559" w:rsidRPr="00A265B5" w:rsidRDefault="005B0559" w:rsidP="005B0559">
      <w:pPr>
        <w:pStyle w:val="Section-Level2"/>
        <w:numPr>
          <w:ilvl w:val="0"/>
          <w:numId w:val="21"/>
        </w:numPr>
        <w:spacing w:after="120"/>
        <w:ind w:left="1843" w:hanging="425"/>
        <w:rPr>
          <w:rFonts w:ascii="Avenir Next LT Pro Light" w:hAnsi="Avenir Next LT Pro Light"/>
          <w:color w:val="auto"/>
          <w:sz w:val="21"/>
          <w:szCs w:val="21"/>
        </w:rPr>
      </w:pPr>
      <w:r w:rsidRPr="00A265B5">
        <w:rPr>
          <w:rFonts w:ascii="Avenir Next LT Pro Light" w:hAnsi="Avenir Next LT Pro Light"/>
          <w:color w:val="auto"/>
          <w:sz w:val="21"/>
          <w:szCs w:val="21"/>
        </w:rPr>
        <w:t>paragraph 27 to the extent that the payment is in respect of housing or relocation expenses which relate solely to the personal circumstances of that headteacher.</w:t>
      </w:r>
    </w:p>
    <w:p w14:paraId="73A011D6" w14:textId="77777777" w:rsidR="005B0559" w:rsidRPr="00A265B5" w:rsidRDefault="005B0559" w:rsidP="005B0559">
      <w:pPr>
        <w:pStyle w:val="Section-Level2"/>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22EF196F" w14:textId="49DD337B" w:rsidR="005B0559" w:rsidRPr="005B0559" w:rsidRDefault="005B0559" w:rsidP="00E85133">
      <w:pPr>
        <w:pStyle w:val="EPMNumberedHeading"/>
      </w:pPr>
      <w:r w:rsidRPr="005B0559">
        <w:t>Pay Progression for Leadership Group Members</w:t>
      </w:r>
    </w:p>
    <w:p w14:paraId="49AF8E2B" w14:textId="0451037B" w:rsidR="005B0559" w:rsidRPr="00A265B5" w:rsidRDefault="005B0559" w:rsidP="00DA796B">
      <w:pPr>
        <w:pStyle w:val="EPMNumberedSubheading"/>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relevant body must consider annually </w:t>
      </w:r>
      <w:proofErr w:type="gramStart"/>
      <w:r w:rsidRPr="00A265B5">
        <w:rPr>
          <w:rFonts w:ascii="Avenir Next LT Pro Light" w:hAnsi="Avenir Next LT Pro Light"/>
          <w:color w:val="auto"/>
          <w:sz w:val="21"/>
          <w:szCs w:val="21"/>
        </w:rPr>
        <w:t>whether or not</w:t>
      </w:r>
      <w:proofErr w:type="gramEnd"/>
      <w:r w:rsidRPr="00A265B5">
        <w:rPr>
          <w:rFonts w:ascii="Avenir Next LT Pro Light" w:hAnsi="Avenir Next LT Pro Light"/>
          <w:color w:val="auto"/>
          <w:sz w:val="21"/>
          <w:szCs w:val="21"/>
        </w:rPr>
        <w:t xml:space="preserve"> to increase the salary of members of the leadership group who have completed a year of employment since the previous pay determination and, if it determines to do so, to what salary within the relevant pay range determined in accordance with paragraphs 4.4 and, where applicable, 5.3 and 9.1. </w:t>
      </w:r>
    </w:p>
    <w:p w14:paraId="6EEDE61A" w14:textId="0D62C697" w:rsidR="005B0559" w:rsidRPr="00A265B5" w:rsidRDefault="005B0559" w:rsidP="00DA796B">
      <w:pPr>
        <w:pStyle w:val="EPMNumberedSubheading"/>
        <w:ind w:left="1418" w:hanging="709"/>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decide how pay progression will be determined, subject to the following:</w:t>
      </w:r>
    </w:p>
    <w:p w14:paraId="03638F4D" w14:textId="77777777" w:rsidR="00BD0DE2" w:rsidRPr="00BD0DE2" w:rsidRDefault="00BD0DE2" w:rsidP="00BD0DE2">
      <w:pPr>
        <w:pStyle w:val="Section-Level2"/>
        <w:numPr>
          <w:ilvl w:val="0"/>
          <w:numId w:val="22"/>
        </w:numPr>
        <w:rPr>
          <w:rFonts w:ascii="Avenir Next LT Pro Light" w:hAnsi="Avenir Next LT Pro Light"/>
          <w:color w:val="auto"/>
          <w:sz w:val="21"/>
          <w:szCs w:val="21"/>
        </w:rPr>
      </w:pPr>
      <w:r w:rsidRPr="00BD0DE2">
        <w:rPr>
          <w:rFonts w:ascii="Avenir Next LT Pro Light" w:hAnsi="Avenir Next LT Pro Light"/>
          <w:color w:val="auto"/>
          <w:sz w:val="21"/>
          <w:szCs w:val="21"/>
        </w:rPr>
        <w:t xml:space="preserve">a recommendation on pay must be made in writing as part of the individual’s appraisal report, and in making its decision the relevant body must have regard to this </w:t>
      </w:r>
      <w:proofErr w:type="gramStart"/>
      <w:r w:rsidRPr="00BD0DE2">
        <w:rPr>
          <w:rFonts w:ascii="Avenir Next LT Pro Light" w:hAnsi="Avenir Next LT Pro Light"/>
          <w:color w:val="auto"/>
          <w:sz w:val="21"/>
          <w:szCs w:val="21"/>
        </w:rPr>
        <w:t>recommendation;</w:t>
      </w:r>
      <w:proofErr w:type="gramEnd"/>
    </w:p>
    <w:p w14:paraId="1D7D37CB" w14:textId="77777777" w:rsidR="00BD0DE2" w:rsidRPr="00BD0DE2" w:rsidRDefault="00BD0DE2" w:rsidP="00BD0DE2">
      <w:pPr>
        <w:pStyle w:val="Section-Level2"/>
        <w:numPr>
          <w:ilvl w:val="0"/>
          <w:numId w:val="22"/>
        </w:numPr>
        <w:rPr>
          <w:rFonts w:ascii="Avenir Next LT Pro Light" w:hAnsi="Avenir Next LT Pro Light"/>
          <w:color w:val="auto"/>
          <w:sz w:val="21"/>
          <w:szCs w:val="21"/>
        </w:rPr>
      </w:pPr>
      <w:r w:rsidRPr="00BD0DE2">
        <w:rPr>
          <w:rFonts w:ascii="Avenir Next LT Pro Light" w:hAnsi="Avenir Next LT Pro Light"/>
          <w:color w:val="auto"/>
          <w:sz w:val="21"/>
          <w:szCs w:val="21"/>
        </w:rPr>
        <w:t>any relevant body that chooses to retain performance related pay as set out in their pay policy, may only withhold progression for reasons related to poor performance. For all other schools, progression may only be withheld if a teacher is in capability proceedings.</w:t>
      </w:r>
    </w:p>
    <w:p w14:paraId="67D230C6" w14:textId="77777777" w:rsidR="00BD0DE2" w:rsidRPr="00BD0DE2" w:rsidRDefault="00BD0DE2" w:rsidP="00BD0DE2">
      <w:pPr>
        <w:pStyle w:val="Section-Level2"/>
        <w:numPr>
          <w:ilvl w:val="0"/>
          <w:numId w:val="22"/>
        </w:numPr>
        <w:rPr>
          <w:rFonts w:ascii="Avenir Next LT Pro Light" w:hAnsi="Avenir Next LT Pro Light"/>
          <w:color w:val="auto"/>
          <w:sz w:val="21"/>
          <w:szCs w:val="21"/>
        </w:rPr>
      </w:pPr>
      <w:r w:rsidRPr="00BD0DE2">
        <w:rPr>
          <w:rFonts w:ascii="Avenir Next LT Pro Light" w:hAnsi="Avenir Next LT Pro Light"/>
          <w:color w:val="auto"/>
          <w:sz w:val="21"/>
          <w:szCs w:val="21"/>
        </w:rPr>
        <w:t xml:space="preserve">where in accordance with the provisions of an earlier Document the relevant body has determined a pay range the maximum of which exceeds the highest salary payable under this Document it must continue to pay any salary </w:t>
      </w:r>
      <w:r w:rsidRPr="00BD0DE2">
        <w:rPr>
          <w:rFonts w:ascii="Avenir Next LT Pro Light" w:hAnsi="Avenir Next LT Pro Light"/>
          <w:color w:val="auto"/>
          <w:sz w:val="21"/>
          <w:szCs w:val="21"/>
        </w:rPr>
        <w:lastRenderedPageBreak/>
        <w:t>determined by reference to that pay range until such time as it reassesses the pay range for its leadership posts under the provisions of this Document.</w:t>
      </w:r>
    </w:p>
    <w:p w14:paraId="05A60775" w14:textId="77777777" w:rsidR="00BD0DE2" w:rsidRPr="00BD0DE2" w:rsidRDefault="00BD0DE2" w:rsidP="00BD0DE2">
      <w:pPr>
        <w:pStyle w:val="Section-Level2"/>
        <w:numPr>
          <w:ilvl w:val="0"/>
          <w:numId w:val="0"/>
        </w:numPr>
        <w:ind w:left="858" w:hanging="432"/>
        <w:rPr>
          <w:rFonts w:ascii="Avenir Next LT Pro Light" w:hAnsi="Avenir Next LT Pro Light"/>
          <w:color w:val="auto"/>
          <w:sz w:val="21"/>
          <w:szCs w:val="21"/>
        </w:rPr>
      </w:pPr>
    </w:p>
    <w:p w14:paraId="4D78B9B8" w14:textId="7978881F" w:rsidR="00BD0DE2" w:rsidRPr="00BD0DE2" w:rsidRDefault="00BD0DE2" w:rsidP="00BD0DE2">
      <w:pPr>
        <w:pStyle w:val="Section-Level2"/>
        <w:numPr>
          <w:ilvl w:val="0"/>
          <w:numId w:val="0"/>
        </w:numPr>
        <w:ind w:left="284"/>
        <w:rPr>
          <w:rFonts w:ascii="Avenir Next LT Pro Light" w:hAnsi="Avenir Next LT Pro Light"/>
          <w:color w:val="auto"/>
          <w:sz w:val="21"/>
          <w:szCs w:val="21"/>
        </w:rPr>
      </w:pPr>
      <w:r w:rsidRPr="00BD0DE2">
        <w:rPr>
          <w:rFonts w:ascii="Avenir Next LT Pro Light" w:hAnsi="Avenir Next LT Pro Light"/>
          <w:color w:val="auto"/>
          <w:sz w:val="21"/>
          <w:szCs w:val="21"/>
        </w:rPr>
        <w:t>The extracts below are guidance from the Department of Education, in Section 3 of the STPCD</w:t>
      </w:r>
      <w:r>
        <w:rPr>
          <w:rFonts w:ascii="Avenir Next LT Pro Light" w:hAnsi="Avenir Next LT Pro Light"/>
          <w:color w:val="auto"/>
          <w:sz w:val="21"/>
          <w:szCs w:val="21"/>
        </w:rPr>
        <w:t xml:space="preserve"> </w:t>
      </w:r>
      <w:r w:rsidRPr="00BD0DE2">
        <w:rPr>
          <w:rFonts w:ascii="Avenir Next LT Pro Light" w:hAnsi="Avenir Next LT Pro Light"/>
          <w:color w:val="auto"/>
          <w:sz w:val="21"/>
          <w:szCs w:val="21"/>
        </w:rPr>
        <w:t>2025.</w:t>
      </w:r>
    </w:p>
    <w:p w14:paraId="7822037F" w14:textId="77777777" w:rsidR="00DA796B" w:rsidRPr="001D2E07" w:rsidRDefault="00DA796B" w:rsidP="00DA796B">
      <w:pPr>
        <w:pStyle w:val="EPMSubheading"/>
        <w:ind w:firstLine="284"/>
        <w:rPr>
          <w:color w:val="242E54"/>
          <w:sz w:val="28"/>
          <w:szCs w:val="28"/>
        </w:rPr>
      </w:pPr>
      <w:r w:rsidRPr="001D2E07">
        <w:rPr>
          <w:color w:val="242E54"/>
          <w:sz w:val="28"/>
          <w:szCs w:val="28"/>
        </w:rPr>
        <w:t>Leadership Group Pay (paragraphs 4-11)</w:t>
      </w:r>
    </w:p>
    <w:p w14:paraId="5FB062C4" w14:textId="151FB81A"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relevant body must ensure that the process of determining the remuneration of the Headteacher is fair and transparent. There should be a proper record made of the reasoning behind the determination of the Headteacher pay range (including any temporary payments made). Relevant bodies can find further guidance on the process for setting leaders’ remuneration in Departmental </w:t>
      </w:r>
      <w:r w:rsidRPr="00BD0DE2">
        <w:rPr>
          <w:rFonts w:ascii="Avenir Next LT Pro Light" w:hAnsi="Avenir Next LT Pro Light"/>
          <w:color w:val="auto"/>
          <w:sz w:val="21"/>
          <w:szCs w:val="21"/>
        </w:rPr>
        <w:t xml:space="preserve">advice </w:t>
      </w:r>
      <w:r w:rsidR="00E7622B" w:rsidRPr="00BD0DE2">
        <w:rPr>
          <w:rFonts w:ascii="Avenir Next LT Pro Light" w:hAnsi="Avenir Next LT Pro Light"/>
          <w:color w:val="auto"/>
          <w:sz w:val="21"/>
          <w:szCs w:val="21"/>
        </w:rPr>
        <w:t>“Managing Teachers’ and Leaders’ Pay”</w:t>
      </w:r>
      <w:r w:rsidR="00BD0DE2">
        <w:rPr>
          <w:rFonts w:ascii="Avenir Next LT Pro Light" w:hAnsi="Avenir Next LT Pro Light"/>
          <w:color w:val="auto"/>
          <w:sz w:val="21"/>
          <w:szCs w:val="21"/>
        </w:rPr>
        <w:t xml:space="preserve"> </w:t>
      </w:r>
      <w:r w:rsidRPr="00BD0DE2">
        <w:rPr>
          <w:rFonts w:ascii="Avenir Next LT Pro Light" w:hAnsi="Avenir Next LT Pro Light"/>
          <w:color w:val="auto"/>
          <w:sz w:val="21"/>
          <w:szCs w:val="21"/>
        </w:rPr>
        <w:t>via</w:t>
      </w:r>
      <w:r w:rsidRPr="00A265B5">
        <w:rPr>
          <w:rFonts w:ascii="Avenir Next LT Pro Light" w:hAnsi="Avenir Next LT Pro Light"/>
          <w:color w:val="auto"/>
          <w:sz w:val="21"/>
          <w:szCs w:val="21"/>
        </w:rPr>
        <w:t xml:space="preserve"> the GOV.UK website</w:t>
      </w:r>
      <w:r w:rsidR="00ED158A" w:rsidRPr="00A265B5">
        <w:rPr>
          <w:rFonts w:ascii="Avenir Next LT Pro Light" w:hAnsi="Avenir Next LT Pro Light"/>
          <w:color w:val="auto"/>
          <w:sz w:val="21"/>
          <w:szCs w:val="21"/>
        </w:rPr>
        <w:t>.</w:t>
      </w:r>
    </w:p>
    <w:p w14:paraId="0CC9E7A7" w14:textId="77777777" w:rsidR="00DA796B" w:rsidRPr="001D2E07" w:rsidRDefault="00DA796B" w:rsidP="00DA796B">
      <w:pPr>
        <w:pStyle w:val="EPMSubheading"/>
        <w:ind w:firstLine="284"/>
        <w:rPr>
          <w:color w:val="242E54"/>
          <w:sz w:val="28"/>
          <w:szCs w:val="28"/>
        </w:rPr>
      </w:pPr>
      <w:r w:rsidRPr="001D2E07">
        <w:rPr>
          <w:color w:val="242E54"/>
          <w:sz w:val="28"/>
          <w:szCs w:val="28"/>
        </w:rPr>
        <w:t>Headteacher’s Pay Range</w:t>
      </w:r>
    </w:p>
    <w:p w14:paraId="38C89B1B"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must assign a school to a headteacher group and determine the Headteacher’s pay range whenever it proposes to appoint a new headteacher. It should also re-determine the Headteacher’s pay range if it becomes necessary to change the Headteacher group (including where the Headteacher becomes responsible and accountable for more than one school in a federation on a permanent basis). It may also determine the Headteacher’s pay range at any time if it considers it necessary to reflect a significant change in the responsibilities of the post. The relevant body should not take account of the salary of the serving Headteacher if it re-determines the Headteacher’s pay range for a new appointment.</w:t>
      </w:r>
    </w:p>
    <w:p w14:paraId="02F31F72" w14:textId="04DE4C7D" w:rsidR="00DA796B" w:rsidRPr="001D2E07" w:rsidRDefault="00DA796B" w:rsidP="001D2E07">
      <w:pPr>
        <w:pStyle w:val="EPMSubheading"/>
        <w:ind w:left="284"/>
        <w:rPr>
          <w:color w:val="242E54"/>
          <w:sz w:val="28"/>
          <w:szCs w:val="28"/>
        </w:rPr>
      </w:pPr>
      <w:r w:rsidRPr="001D2E07">
        <w:rPr>
          <w:color w:val="242E54"/>
          <w:sz w:val="28"/>
          <w:szCs w:val="28"/>
        </w:rPr>
        <w:t xml:space="preserve">Headteachers Responsible and Accountable for </w:t>
      </w:r>
      <w:r w:rsidR="001D2E07">
        <w:rPr>
          <w:color w:val="242E54"/>
          <w:sz w:val="28"/>
          <w:szCs w:val="28"/>
        </w:rPr>
        <w:t>m</w:t>
      </w:r>
      <w:r w:rsidRPr="001D2E07">
        <w:rPr>
          <w:color w:val="242E54"/>
          <w:sz w:val="28"/>
          <w:szCs w:val="28"/>
        </w:rPr>
        <w:t xml:space="preserve">ore </w:t>
      </w:r>
      <w:r w:rsidR="001D2E07">
        <w:rPr>
          <w:color w:val="242E54"/>
          <w:sz w:val="28"/>
          <w:szCs w:val="28"/>
        </w:rPr>
        <w:t>t</w:t>
      </w:r>
      <w:r w:rsidRPr="001D2E07">
        <w:rPr>
          <w:color w:val="242E54"/>
          <w:sz w:val="28"/>
          <w:szCs w:val="28"/>
        </w:rPr>
        <w:t>han one School on a Permanent Basis</w:t>
      </w:r>
    </w:p>
    <w:p w14:paraId="440A1A93"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paragraphs 6 or 7. </w:t>
      </w:r>
    </w:p>
    <w:p w14:paraId="52AA6227"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Consideration also needs to be given to the remuneration of other teachers who, </w:t>
      </w:r>
      <w:proofErr w:type="gramStart"/>
      <w:r w:rsidRPr="00A265B5">
        <w:rPr>
          <w:rFonts w:ascii="Avenir Next LT Pro Light" w:hAnsi="Avenir Next LT Pro Light"/>
          <w:color w:val="auto"/>
          <w:sz w:val="21"/>
          <w:szCs w:val="21"/>
        </w:rPr>
        <w:t>as a result of</w:t>
      </w:r>
      <w:proofErr w:type="gramEnd"/>
      <w:r w:rsidRPr="00A265B5">
        <w:rPr>
          <w:rFonts w:ascii="Avenir Next LT Pro Light" w:hAnsi="Avenir Next LT Pro Light"/>
          <w:color w:val="auto"/>
          <w:sz w:val="21"/>
          <w:szCs w:val="21"/>
        </w:rPr>
        <w:t xml:space="preserve"> the Headteacher’s role, are taking on additional responsibilities. This will be based on any additional responsibilities attached to the post (not the teacher), which should be recorded. An increase in remuneration should only be agreed where the post accrues extra responsibilities </w:t>
      </w:r>
      <w:proofErr w:type="gramStart"/>
      <w:r w:rsidRPr="00A265B5">
        <w:rPr>
          <w:rFonts w:ascii="Avenir Next LT Pro Light" w:hAnsi="Avenir Next LT Pro Light"/>
          <w:color w:val="auto"/>
          <w:sz w:val="21"/>
          <w:szCs w:val="21"/>
        </w:rPr>
        <w:t>as a result of</w:t>
      </w:r>
      <w:proofErr w:type="gramEnd"/>
      <w:r w:rsidRPr="00A265B5">
        <w:rPr>
          <w:rFonts w:ascii="Avenir Next LT Pro Light" w:hAnsi="Avenir Next LT Pro Light"/>
          <w:color w:val="auto"/>
          <w:sz w:val="21"/>
          <w:szCs w:val="21"/>
        </w:rPr>
        <w:t xml:space="preserve"> the Headteacher’s enlarged role. it is not automatic.</w:t>
      </w:r>
    </w:p>
    <w:p w14:paraId="6D846076" w14:textId="77777777" w:rsidR="00DA796B" w:rsidRPr="001D2E07" w:rsidRDefault="00DA796B" w:rsidP="00DA796B">
      <w:pPr>
        <w:pStyle w:val="EPMSubheading"/>
        <w:ind w:firstLine="284"/>
        <w:rPr>
          <w:color w:val="242E54"/>
          <w:sz w:val="28"/>
          <w:szCs w:val="28"/>
        </w:rPr>
      </w:pPr>
      <w:r w:rsidRPr="001D2E07">
        <w:rPr>
          <w:color w:val="242E54"/>
          <w:sz w:val="28"/>
          <w:szCs w:val="28"/>
        </w:rPr>
        <w:t>Limits on Payments</w:t>
      </w:r>
    </w:p>
    <w:p w14:paraId="0A757719"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The relevant body should have oversight of a headteacher’s entire role, and any paid responsibilities attached to the role. This should ensure that the relevant body can take a fully informed decision about the appropriate remuneration for the Headteacher and any consequential implications for the pay of other staff who may be taking on additional responsibilities in the absence of the Headteacher.</w:t>
      </w:r>
    </w:p>
    <w:p w14:paraId="5766A0AB"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It should be wholly exceptional for the total value of the salary – including temporary payments - to exceed the limit of 25% of the amount that corresponds to the maximum of the Headteacher group for the school or schools in any given year. If it is considered that there are wholly exceptional circumstances that warrant payments that exceed this limit, the relevant committee must make a business case for the payment to the full Governing Body. The Governing Body must seek external independent advice from an appropriate person or body, who can consider </w:t>
      </w:r>
      <w:r w:rsidRPr="00A265B5">
        <w:rPr>
          <w:rFonts w:ascii="Avenir Next LT Pro Light" w:hAnsi="Avenir Next LT Pro Light"/>
          <w:color w:val="auto"/>
          <w:sz w:val="21"/>
          <w:szCs w:val="21"/>
        </w:rPr>
        <w:lastRenderedPageBreak/>
        <w:t xml:space="preserve">the provisions of the document and whether they have been properly applied to the Headteacher’s pay and subsequently advise the Governing Body before the Governing Body decides whether it is justifiable to exceed the limit in each </w:t>
      </w:r>
      <w:proofErr w:type="gramStart"/>
      <w:r w:rsidRPr="00A265B5">
        <w:rPr>
          <w:rFonts w:ascii="Avenir Next LT Pro Light" w:hAnsi="Avenir Next LT Pro Light"/>
          <w:color w:val="auto"/>
          <w:sz w:val="21"/>
          <w:szCs w:val="21"/>
        </w:rPr>
        <w:t>particular case</w:t>
      </w:r>
      <w:proofErr w:type="gramEnd"/>
      <w:r w:rsidRPr="00A265B5">
        <w:rPr>
          <w:rFonts w:ascii="Avenir Next LT Pro Light" w:hAnsi="Avenir Next LT Pro Light"/>
          <w:color w:val="auto"/>
          <w:sz w:val="21"/>
          <w:szCs w:val="21"/>
        </w:rPr>
        <w:t>. There must be a clear audit trail for any advice given to the Governing Body and a full and accurate record of all decisions made by the Governing Body and the reasoning behind them.</w:t>
      </w:r>
    </w:p>
    <w:p w14:paraId="172EAEDE"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Where a headteacher receives a payment under paragraph 25 in respect of residential duties which are a requirement of the post, that amount does not count towards the 25% limit. Where a headteacher is awarded a non-monetary benefit under paragraph 27 and it is not a housing or relocation benefit that relates solely to the personal circumstances of that headteacher, the monetary value of the benefit counts towards the 25% limit.</w:t>
      </w:r>
    </w:p>
    <w:p w14:paraId="384BD5FA" w14:textId="70B292F4" w:rsidR="00DA796B" w:rsidRPr="001D2E07" w:rsidRDefault="00DA796B" w:rsidP="001D2E07">
      <w:pPr>
        <w:pStyle w:val="EPMSubheading"/>
        <w:ind w:firstLine="284"/>
        <w:rPr>
          <w:color w:val="242E54"/>
          <w:sz w:val="28"/>
          <w:szCs w:val="28"/>
        </w:rPr>
      </w:pPr>
      <w:r w:rsidRPr="001D2E07">
        <w:rPr>
          <w:color w:val="242E54"/>
          <w:sz w:val="28"/>
          <w:szCs w:val="28"/>
        </w:rPr>
        <w:t xml:space="preserve">Headteachers Temporarily Accountable for </w:t>
      </w:r>
      <w:r w:rsidR="001D2E07">
        <w:rPr>
          <w:color w:val="242E54"/>
          <w:sz w:val="28"/>
          <w:szCs w:val="28"/>
        </w:rPr>
        <w:t>m</w:t>
      </w:r>
      <w:r w:rsidRPr="001D2E07">
        <w:rPr>
          <w:color w:val="242E54"/>
          <w:sz w:val="28"/>
          <w:szCs w:val="28"/>
        </w:rPr>
        <w:t xml:space="preserve">ore </w:t>
      </w:r>
      <w:r w:rsidR="001D2E07">
        <w:rPr>
          <w:color w:val="242E54"/>
          <w:sz w:val="28"/>
          <w:szCs w:val="28"/>
        </w:rPr>
        <w:t>t</w:t>
      </w:r>
      <w:r w:rsidRPr="001D2E07">
        <w:rPr>
          <w:color w:val="242E54"/>
          <w:sz w:val="28"/>
          <w:szCs w:val="28"/>
        </w:rPr>
        <w:t>han one School</w:t>
      </w:r>
    </w:p>
    <w:p w14:paraId="505CB27C"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Occasionally, where there is a vacancy in the post of headteacher and it is not possible to appoint a deputy headteacher or another member of the teaching staff to take on the position of acting headteacher, a headteacher of another school may be appointed to be responsible and accountable for that school in addition to their continuing role as the headteacher of their own school.</w:t>
      </w:r>
    </w:p>
    <w:p w14:paraId="0F3810A6"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This role should be regarded as an acting headship on a temporary basis for as long as arrangements are being made for a permanent headteacher to be recruited or to make alternative permanent arrangements, such as amalgamating the schools or creating a hard federation. There is an expectation that these temporary arrangements should be time-limited and subject to regular review and the maximum duration should be no longer than two years.</w:t>
      </w:r>
    </w:p>
    <w:p w14:paraId="74E35C5C"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Any workload issues for the Headteacher and additional responsibilities for other employees </w:t>
      </w:r>
      <w:proofErr w:type="gramStart"/>
      <w:r w:rsidRPr="00A265B5">
        <w:rPr>
          <w:rFonts w:ascii="Avenir Next LT Pro Light" w:hAnsi="Avenir Next LT Pro Light"/>
          <w:color w:val="auto"/>
          <w:sz w:val="21"/>
          <w:szCs w:val="21"/>
        </w:rPr>
        <w:t>as a consequence of</w:t>
      </w:r>
      <w:proofErr w:type="gramEnd"/>
      <w:r w:rsidRPr="00A265B5">
        <w:rPr>
          <w:rFonts w:ascii="Avenir Next LT Pro Light" w:hAnsi="Avenir Next LT Pro Light"/>
          <w:color w:val="auto"/>
          <w:sz w:val="21"/>
          <w:szCs w:val="21"/>
        </w:rPr>
        <w:t xml:space="preserve"> this temporary arrangement should be addressed as part of the overall considerations by the relevant body in agreeing to the Headteacher undertaking the temporary additional role.</w:t>
      </w:r>
    </w:p>
    <w:p w14:paraId="515B2E21"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proofErr w:type="gramStart"/>
      <w:r w:rsidRPr="00A265B5">
        <w:rPr>
          <w:rFonts w:ascii="Avenir Next LT Pro Light" w:hAnsi="Avenir Next LT Pro Light"/>
          <w:color w:val="auto"/>
          <w:sz w:val="21"/>
          <w:szCs w:val="21"/>
        </w:rPr>
        <w:t>In order to</w:t>
      </w:r>
      <w:proofErr w:type="gramEnd"/>
      <w:r w:rsidRPr="00A265B5">
        <w:rPr>
          <w:rFonts w:ascii="Avenir Next LT Pro Light" w:hAnsi="Avenir Next LT Pro Light"/>
          <w:color w:val="auto"/>
          <w:sz w:val="21"/>
          <w:szCs w:val="21"/>
        </w:rPr>
        <w:t xml:space="preserve"> support a headteacher who temporarily takes on the responsibility and accountability for more than one school the Governing Bodies of the schools concerned should establish clarity regarding both how these arrangements will work in practice and how the arrangements will be </w:t>
      </w:r>
      <w:proofErr w:type="gramStart"/>
      <w:r w:rsidRPr="00A265B5">
        <w:rPr>
          <w:rFonts w:ascii="Avenir Next LT Pro Light" w:hAnsi="Avenir Next LT Pro Light"/>
          <w:color w:val="auto"/>
          <w:sz w:val="21"/>
          <w:szCs w:val="21"/>
        </w:rPr>
        <w:t>brought to an end</w:t>
      </w:r>
      <w:proofErr w:type="gramEnd"/>
      <w:r w:rsidRPr="00A265B5">
        <w:rPr>
          <w:rFonts w:ascii="Avenir Next LT Pro Light" w:hAnsi="Avenir Next LT Pro Light"/>
          <w:color w:val="auto"/>
          <w:sz w:val="21"/>
          <w:szCs w:val="21"/>
        </w:rPr>
        <w:t>.</w:t>
      </w:r>
    </w:p>
    <w:p w14:paraId="320599CE"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In such temporary arrangements, a fixed-term variation of contract must be issued by the contracting employer. This will specify that the Headteacher, in addition to their substantive post, is for a fixed period employed additionally as headteacher of the additional school/s. At the end of the fixed-term variation, the Headteacher will revert to their substantive post.</w:t>
      </w:r>
    </w:p>
    <w:p w14:paraId="1BEA4A4E"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Under the Collaboration Regulations, the Governing Bodies may arrange for a joint committee made up of governors from all the </w:t>
      </w:r>
      <w:proofErr w:type="gramStart"/>
      <w:r w:rsidRPr="00A265B5">
        <w:rPr>
          <w:rFonts w:ascii="Avenir Next LT Pro Light" w:hAnsi="Avenir Next LT Pro Light"/>
          <w:color w:val="auto"/>
          <w:sz w:val="21"/>
          <w:szCs w:val="21"/>
        </w:rPr>
        <w:t>Schools</w:t>
      </w:r>
      <w:proofErr w:type="gramEnd"/>
      <w:r w:rsidRPr="00A265B5">
        <w:rPr>
          <w:rFonts w:ascii="Avenir Next LT Pro Light" w:hAnsi="Avenir Next LT Pro Light"/>
          <w:color w:val="auto"/>
          <w:sz w:val="21"/>
          <w:szCs w:val="21"/>
        </w:rPr>
        <w:t xml:space="preserve"> involved to be established to oversee the fixed-term arrangements. This joint committee should have delegated power to deal with the pay and performance management of the Headteacher and other relevant employee issues. This joint committee should also have delegated power regarding the financial arrangements which will apply during the collaboration period. For example, the joint committee should determine any payment </w:t>
      </w:r>
      <w:proofErr w:type="gramStart"/>
      <w:r w:rsidRPr="00A265B5">
        <w:rPr>
          <w:rFonts w:ascii="Avenir Next LT Pro Light" w:hAnsi="Avenir Next LT Pro Light"/>
          <w:color w:val="auto"/>
          <w:sz w:val="21"/>
          <w:szCs w:val="21"/>
        </w:rPr>
        <w:t>on the basis of</w:t>
      </w:r>
      <w:proofErr w:type="gramEnd"/>
      <w:r w:rsidRPr="00A265B5">
        <w:rPr>
          <w:rFonts w:ascii="Avenir Next LT Pro Light" w:hAnsi="Avenir Next LT Pro Light"/>
          <w:color w:val="auto"/>
          <w:sz w:val="21"/>
          <w:szCs w:val="21"/>
        </w:rPr>
        <w:t xml:space="preserve"> temporary additional responsibility for teachers, other than the Headteacher, in each school, and the arrangements for reviewing and ending those payments.</w:t>
      </w:r>
    </w:p>
    <w:p w14:paraId="06315D58" w14:textId="77777777" w:rsidR="00DA796B" w:rsidRPr="00A265B5" w:rsidRDefault="00DA796B" w:rsidP="00DA796B">
      <w:pPr>
        <w:pStyle w:val="Section-Level2"/>
        <w:numPr>
          <w:ilvl w:val="0"/>
          <w:numId w:val="0"/>
        </w:numPr>
        <w:ind w:left="284"/>
        <w:rPr>
          <w:rFonts w:ascii="Avenir Next LT Pro Light" w:hAnsi="Avenir Next LT Pro Light"/>
          <w:color w:val="auto"/>
          <w:sz w:val="21"/>
          <w:szCs w:val="21"/>
        </w:rPr>
      </w:pPr>
      <w:r w:rsidRPr="00A265B5">
        <w:rPr>
          <w:rFonts w:ascii="Avenir Next LT Pro Light" w:hAnsi="Avenir Next LT Pro Light"/>
          <w:color w:val="auto"/>
          <w:sz w:val="21"/>
          <w:szCs w:val="21"/>
        </w:rPr>
        <w:t xml:space="preserve">The joint committee should also take account of the circumstances of each school and the workload implications, including the extent to which the Headteacher is likely to be absent from the individual schools. Any temporary payments made under paragraph 10 should take account of the full responsibilities of the post. Where there is a deputy headteacher in the school, it may </w:t>
      </w:r>
      <w:r w:rsidRPr="00A265B5">
        <w:rPr>
          <w:rFonts w:ascii="Avenir Next LT Pro Light" w:hAnsi="Avenir Next LT Pro Light"/>
          <w:color w:val="auto"/>
          <w:sz w:val="21"/>
          <w:szCs w:val="21"/>
        </w:rPr>
        <w:lastRenderedPageBreak/>
        <w:t>be more appropriate to increase their pay range temporarily to take account of the increased responsibilities in the absence of the Headteacher. Additionally, a teacher may be temporarily appointed, in the absence of the substantive post holder, to a post in the staffing structure which attracts a TLR payment; and in the case of a classroom teacher where none of those are appropriate, the joint committee may consider the use of additional payments under paragraph 26.1(d). The joint committee should ensure that any payment for additional responsibilities is in line with the provisions of the document and the School’s Pay Policy.</w:t>
      </w:r>
    </w:p>
    <w:p w14:paraId="2ED6A5A1" w14:textId="77777777" w:rsidR="00DA796B" w:rsidRPr="00A265B5" w:rsidRDefault="68D3F8AD" w:rsidP="00DA796B">
      <w:pPr>
        <w:pStyle w:val="Section-Level2"/>
        <w:numPr>
          <w:ilvl w:val="0"/>
          <w:numId w:val="0"/>
        </w:numPr>
        <w:ind w:left="284"/>
        <w:rPr>
          <w:rFonts w:ascii="Avenir Next LT Pro Light" w:hAnsi="Avenir Next LT Pro Light"/>
          <w:color w:val="auto"/>
          <w:sz w:val="21"/>
          <w:szCs w:val="21"/>
        </w:rPr>
      </w:pPr>
      <w:r w:rsidRPr="0759C439">
        <w:rPr>
          <w:rFonts w:ascii="Avenir Next LT Pro Light" w:hAnsi="Avenir Next LT Pro Light"/>
          <w:color w:val="auto"/>
          <w:sz w:val="21"/>
          <w:szCs w:val="21"/>
        </w:rPr>
        <w:t xml:space="preserve">Where the arrangement for the Headteacher is temporary, any adjustment to their pay and that of other teachers is also temporary, and safeguarding provisions will not apply when the arrangements cease. </w:t>
      </w:r>
    </w:p>
    <w:p w14:paraId="4DECF5C4" w14:textId="13077FFF" w:rsidR="004D537E" w:rsidRPr="007E7572" w:rsidRDefault="004D537E" w:rsidP="00DF3C25">
      <w:pPr>
        <w:pStyle w:val="EPMBullets"/>
        <w:numPr>
          <w:ilvl w:val="0"/>
          <w:numId w:val="0"/>
        </w:numPr>
        <w:sectPr w:rsidR="004D537E" w:rsidRPr="007E7572" w:rsidSect="00DF3C25">
          <w:pgSz w:w="11906" w:h="16838"/>
          <w:pgMar w:top="567" w:right="1558" w:bottom="851" w:left="1021" w:header="709" w:footer="544" w:gutter="0"/>
          <w:cols w:space="708"/>
          <w:docGrid w:linePitch="360"/>
        </w:sectPr>
      </w:pPr>
    </w:p>
    <w:p w14:paraId="76D75E26" w14:textId="77777777" w:rsidR="008379A5" w:rsidRPr="007E7572" w:rsidRDefault="008379A5" w:rsidP="00DF3C25">
      <w:pPr>
        <w:pStyle w:val="EPMBullets"/>
        <w:numPr>
          <w:ilvl w:val="0"/>
          <w:numId w:val="0"/>
        </w:numPr>
        <w:ind w:left="720"/>
      </w:pPr>
    </w:p>
    <w:sectPr w:rsidR="008379A5" w:rsidRPr="007E7572" w:rsidSect="00741B45">
      <w:headerReference w:type="default" r:id="rId20"/>
      <w:footerReference w:type="default" r:id="rId21"/>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5379" w14:textId="77777777" w:rsidR="00D8542A" w:rsidRDefault="00D8542A" w:rsidP="002C1565">
      <w:r>
        <w:separator/>
      </w:r>
    </w:p>
  </w:endnote>
  <w:endnote w:type="continuationSeparator" w:id="0">
    <w:p w14:paraId="3336D279" w14:textId="77777777" w:rsidR="00D8542A" w:rsidRDefault="00D8542A" w:rsidP="002C1565">
      <w:r>
        <w:continuationSeparator/>
      </w:r>
    </w:p>
  </w:endnote>
  <w:endnote w:type="continuationNotice" w:id="1">
    <w:p w14:paraId="6CC62924" w14:textId="77777777" w:rsidR="00D8542A" w:rsidRDefault="00D85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Demi Bold">
    <w:panose1 w:val="020B0703020202020204"/>
    <w:charset w:val="00"/>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57445F8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5A6D" w14:textId="77777777" w:rsidR="00D8542A" w:rsidRDefault="00D8542A" w:rsidP="002C1565">
      <w:r>
        <w:separator/>
      </w:r>
    </w:p>
  </w:footnote>
  <w:footnote w:type="continuationSeparator" w:id="0">
    <w:p w14:paraId="62AE4AC6" w14:textId="77777777" w:rsidR="00D8542A" w:rsidRDefault="00D8542A" w:rsidP="002C1565">
      <w:r>
        <w:continuationSeparator/>
      </w:r>
    </w:p>
  </w:footnote>
  <w:footnote w:type="continuationNotice" w:id="1">
    <w:p w14:paraId="286A2702" w14:textId="77777777" w:rsidR="00D8542A" w:rsidRDefault="00D85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4F9E" w14:textId="77777777" w:rsidR="00976083" w:rsidRPr="00DF3C25" w:rsidRDefault="00976083" w:rsidP="00DF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5A72454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rFonts w:ascii="Avenir Next LT Pro Light" w:hAnsi="Avenir Next LT Pro Light" w:hint="default"/>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1642F"/>
    <w:multiLevelType w:val="hybridMultilevel"/>
    <w:tmpl w:val="6916CB72"/>
    <w:lvl w:ilvl="0" w:tplc="4C724374">
      <w:start w:val="1"/>
      <w:numFmt w:val="bullet"/>
      <w:pStyle w:val="EPMBullets"/>
      <w:lvlText w:val=""/>
      <w:lvlJc w:val="left"/>
      <w:pPr>
        <w:ind w:left="720" w:hanging="360"/>
      </w:pPr>
      <w:rPr>
        <w:rFonts w:ascii="Symbol" w:hAnsi="Symbol" w:hint="default"/>
        <w:color w:val="A3145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02745D"/>
    <w:multiLevelType w:val="hybridMultilevel"/>
    <w:tmpl w:val="A4BE9796"/>
    <w:lvl w:ilvl="0" w:tplc="983230FC">
      <w:start w:val="1"/>
      <w:numFmt w:val="bullet"/>
      <w:lvlText w:val=""/>
      <w:lvlJc w:val="left"/>
      <w:pPr>
        <w:ind w:left="1429" w:hanging="360"/>
      </w:pPr>
      <w:rPr>
        <w:rFonts w:ascii="Symbol" w:hAnsi="Symbol" w:hint="default"/>
        <w:color w:val="A3145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EA84D2D"/>
    <w:multiLevelType w:val="hybridMultilevel"/>
    <w:tmpl w:val="DFD81338"/>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1FEE2C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09547A"/>
    <w:multiLevelType w:val="hybridMultilevel"/>
    <w:tmpl w:val="267E257C"/>
    <w:lvl w:ilvl="0" w:tplc="65DC183A">
      <w:start w:val="21"/>
      <w:numFmt w:val="bullet"/>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C7113"/>
    <w:multiLevelType w:val="multilevel"/>
    <w:tmpl w:val="79D66490"/>
    <w:lvl w:ilvl="0">
      <w:start w:val="1"/>
      <w:numFmt w:val="decimal"/>
      <w:pStyle w:val="Sectionheading"/>
      <w:lvlText w:val="%1."/>
      <w:lvlJc w:val="left"/>
      <w:pPr>
        <w:ind w:left="900" w:hanging="360"/>
      </w:pPr>
      <w:rPr>
        <w:rFonts w:hint="default"/>
        <w:color w:val="FF4874"/>
      </w:rPr>
    </w:lvl>
    <w:lvl w:ilvl="1">
      <w:start w:val="1"/>
      <w:numFmt w:val="decimal"/>
      <w:pStyle w:val="Section-Level2"/>
      <w:lvlText w:val="%10.%2."/>
      <w:lvlJc w:val="left"/>
      <w:pPr>
        <w:ind w:left="858" w:hanging="432"/>
      </w:pPr>
      <w:rPr>
        <w:rFonts w:ascii="Avenir Next LT Pro Light" w:hAnsi="Avenir Next LT Pro Light" w:hint="default"/>
        <w:color w:val="44474A"/>
        <w:sz w:val="21"/>
        <w:szCs w:val="21"/>
      </w:rPr>
    </w:lvl>
    <w:lvl w:ilvl="2">
      <w:start w:val="1"/>
      <w:numFmt w:val="decimal"/>
      <w:pStyle w:val="Section-Level3"/>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835E2A"/>
    <w:multiLevelType w:val="hybridMultilevel"/>
    <w:tmpl w:val="F5B81486"/>
    <w:lvl w:ilvl="0" w:tplc="3C2CBD76">
      <w:start w:val="1"/>
      <w:numFmt w:val="lowerLetter"/>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E2137AA"/>
    <w:multiLevelType w:val="hybridMultilevel"/>
    <w:tmpl w:val="2A2423D4"/>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B158E"/>
    <w:multiLevelType w:val="multilevel"/>
    <w:tmpl w:val="444690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B2D4A"/>
    <w:multiLevelType w:val="hybridMultilevel"/>
    <w:tmpl w:val="AEA2ED42"/>
    <w:lvl w:ilvl="0" w:tplc="08090019">
      <w:start w:val="1"/>
      <w:numFmt w:val="lowerLetter"/>
      <w:lvlText w:val="%1."/>
      <w:lvlJc w:val="left"/>
      <w:pPr>
        <w:ind w:left="2138" w:hanging="360"/>
      </w:pPr>
    </w:lvl>
    <w:lvl w:ilvl="1" w:tplc="BC1CFB66">
      <w:start w:val="1"/>
      <w:numFmt w:val="lowerRoman"/>
      <w:lvlText w:val="%2."/>
      <w:lvlJc w:val="left"/>
      <w:pPr>
        <w:ind w:left="3218" w:hanging="720"/>
      </w:pPr>
      <w:rPr>
        <w:rFonts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53077D0C"/>
    <w:multiLevelType w:val="hybridMultilevel"/>
    <w:tmpl w:val="0AE65620"/>
    <w:lvl w:ilvl="0" w:tplc="FFFFFFFF">
      <w:start w:val="1"/>
      <w:numFmt w:val="lowerRoman"/>
      <w:lvlText w:val="%1."/>
      <w:lvlJc w:val="right"/>
      <w:pPr>
        <w:ind w:left="2880" w:hanging="360"/>
      </w:pPr>
    </w:lvl>
    <w:lvl w:ilvl="1" w:tplc="0809001B">
      <w:start w:val="1"/>
      <w:numFmt w:val="lowerRoman"/>
      <w:lvlText w:val="%2."/>
      <w:lvlJc w:val="righ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0722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E342E3"/>
    <w:multiLevelType w:val="multilevel"/>
    <w:tmpl w:val="783E63E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B356800"/>
    <w:multiLevelType w:val="hybridMultilevel"/>
    <w:tmpl w:val="3CFE5D2A"/>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1874540528">
    <w:abstractNumId w:val="16"/>
  </w:num>
  <w:num w:numId="2" w16cid:durableId="1364211866">
    <w:abstractNumId w:val="6"/>
  </w:num>
  <w:num w:numId="3" w16cid:durableId="603729848">
    <w:abstractNumId w:val="22"/>
  </w:num>
  <w:num w:numId="4" w16cid:durableId="773355512">
    <w:abstractNumId w:val="5"/>
  </w:num>
  <w:num w:numId="5" w16cid:durableId="1759406275">
    <w:abstractNumId w:val="18"/>
  </w:num>
  <w:num w:numId="6" w16cid:durableId="241258015">
    <w:abstractNumId w:val="2"/>
  </w:num>
  <w:num w:numId="7" w16cid:durableId="1267693963">
    <w:abstractNumId w:val="25"/>
  </w:num>
  <w:num w:numId="8" w16cid:durableId="14431850">
    <w:abstractNumId w:val="7"/>
  </w:num>
  <w:num w:numId="9" w16cid:durableId="14967319">
    <w:abstractNumId w:val="3"/>
  </w:num>
  <w:num w:numId="10" w16cid:durableId="1462842165">
    <w:abstractNumId w:val="12"/>
  </w:num>
  <w:num w:numId="11" w16cid:durableId="1658027920">
    <w:abstractNumId w:val="11"/>
  </w:num>
  <w:num w:numId="12" w16cid:durableId="169949997">
    <w:abstractNumId w:val="0"/>
  </w:num>
  <w:num w:numId="13" w16cid:durableId="1316757553">
    <w:abstractNumId w:val="4"/>
  </w:num>
  <w:num w:numId="14" w16cid:durableId="753011063">
    <w:abstractNumId w:val="13"/>
  </w:num>
  <w:num w:numId="15" w16cid:durableId="1160804649">
    <w:abstractNumId w:val="21"/>
  </w:num>
  <w:num w:numId="16" w16cid:durableId="1489439661">
    <w:abstractNumId w:val="8"/>
  </w:num>
  <w:num w:numId="17" w16cid:durableId="1491142239">
    <w:abstractNumId w:val="10"/>
  </w:num>
  <w:num w:numId="18" w16cid:durableId="88743213">
    <w:abstractNumId w:val="23"/>
  </w:num>
  <w:num w:numId="19" w16cid:durableId="75327274">
    <w:abstractNumId w:val="24"/>
  </w:num>
  <w:num w:numId="20" w16cid:durableId="557322922">
    <w:abstractNumId w:val="17"/>
  </w:num>
  <w:num w:numId="21" w16cid:durableId="1858229433">
    <w:abstractNumId w:val="9"/>
  </w:num>
  <w:num w:numId="22" w16cid:durableId="1880556111">
    <w:abstractNumId w:val="15"/>
  </w:num>
  <w:num w:numId="23" w16cid:durableId="895967458">
    <w:abstractNumId w:val="1"/>
  </w:num>
  <w:num w:numId="24" w16cid:durableId="1014653749">
    <w:abstractNumId w:val="0"/>
  </w:num>
  <w:num w:numId="25" w16cid:durableId="14121223">
    <w:abstractNumId w:val="0"/>
  </w:num>
  <w:num w:numId="26" w16cid:durableId="1047946090">
    <w:abstractNumId w:val="0"/>
  </w:num>
  <w:num w:numId="27" w16cid:durableId="1861356521">
    <w:abstractNumId w:val="0"/>
  </w:num>
  <w:num w:numId="28" w16cid:durableId="1183978550">
    <w:abstractNumId w:val="0"/>
  </w:num>
  <w:num w:numId="29" w16cid:durableId="786199311">
    <w:abstractNumId w:val="0"/>
  </w:num>
  <w:num w:numId="30" w16cid:durableId="332950099">
    <w:abstractNumId w:val="0"/>
  </w:num>
  <w:num w:numId="31" w16cid:durableId="994181887">
    <w:abstractNumId w:val="0"/>
  </w:num>
  <w:num w:numId="32" w16cid:durableId="269093150">
    <w:abstractNumId w:val="0"/>
  </w:num>
  <w:num w:numId="33" w16cid:durableId="339282666">
    <w:abstractNumId w:val="0"/>
  </w:num>
  <w:num w:numId="34" w16cid:durableId="2038577647">
    <w:abstractNumId w:val="19"/>
  </w:num>
  <w:num w:numId="35" w16cid:durableId="662467171">
    <w:abstractNumId w:val="14"/>
  </w:num>
  <w:num w:numId="36" w16cid:durableId="15616409">
    <w:abstractNumId w:val="13"/>
  </w:num>
  <w:num w:numId="37" w16cid:durableId="978657454">
    <w:abstractNumId w:val="26"/>
  </w:num>
  <w:num w:numId="38" w16cid:durableId="375079679">
    <w:abstractNumId w:val="20"/>
  </w:num>
  <w:num w:numId="39" w16cid:durableId="1768842375">
    <w:abstractNumId w:val="0"/>
  </w:num>
  <w:num w:numId="40" w16cid:durableId="191693753">
    <w:abstractNumId w:val="13"/>
  </w:num>
  <w:num w:numId="41" w16cid:durableId="101264715">
    <w:abstractNumId w:val="13"/>
  </w:num>
  <w:num w:numId="42" w16cid:durableId="1243686560">
    <w:abstractNumId w:val="13"/>
  </w:num>
  <w:num w:numId="43" w16cid:durableId="119808888">
    <w:abstractNumId w:val="13"/>
  </w:num>
  <w:num w:numId="44" w16cid:durableId="14693253">
    <w:abstractNumId w:val="13"/>
  </w:num>
  <w:num w:numId="45" w16cid:durableId="856772920">
    <w:abstractNumId w:val="13"/>
  </w:num>
  <w:num w:numId="46" w16cid:durableId="337346034">
    <w:abstractNumId w:val="13"/>
  </w:num>
  <w:num w:numId="47" w16cid:durableId="1667978957">
    <w:abstractNumId w:val="13"/>
  </w:num>
  <w:num w:numId="48" w16cid:durableId="679236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576BA"/>
    <w:rsid w:val="00077968"/>
    <w:rsid w:val="000810BC"/>
    <w:rsid w:val="00084603"/>
    <w:rsid w:val="0008762F"/>
    <w:rsid w:val="00094D9E"/>
    <w:rsid w:val="00097C60"/>
    <w:rsid w:val="000A68CD"/>
    <w:rsid w:val="000C22E2"/>
    <w:rsid w:val="000C3D4D"/>
    <w:rsid w:val="000C4197"/>
    <w:rsid w:val="000C550A"/>
    <w:rsid w:val="000C7EAD"/>
    <w:rsid w:val="000D26FC"/>
    <w:rsid w:val="000D5656"/>
    <w:rsid w:val="000E0514"/>
    <w:rsid w:val="000E3000"/>
    <w:rsid w:val="000E74DD"/>
    <w:rsid w:val="000F4854"/>
    <w:rsid w:val="00105E6D"/>
    <w:rsid w:val="00106017"/>
    <w:rsid w:val="00116B7E"/>
    <w:rsid w:val="001372BA"/>
    <w:rsid w:val="00141DF9"/>
    <w:rsid w:val="0015282E"/>
    <w:rsid w:val="00152B97"/>
    <w:rsid w:val="00160C0C"/>
    <w:rsid w:val="0017047C"/>
    <w:rsid w:val="00177F73"/>
    <w:rsid w:val="00182616"/>
    <w:rsid w:val="00182F0C"/>
    <w:rsid w:val="0019636F"/>
    <w:rsid w:val="001A088F"/>
    <w:rsid w:val="001A2AC8"/>
    <w:rsid w:val="001C2417"/>
    <w:rsid w:val="001C5D32"/>
    <w:rsid w:val="001D2E07"/>
    <w:rsid w:val="001D6E96"/>
    <w:rsid w:val="001D7085"/>
    <w:rsid w:val="001E070E"/>
    <w:rsid w:val="001F67F6"/>
    <w:rsid w:val="001F77EA"/>
    <w:rsid w:val="00211462"/>
    <w:rsid w:val="00211B0E"/>
    <w:rsid w:val="00230346"/>
    <w:rsid w:val="002413F4"/>
    <w:rsid w:val="00242A77"/>
    <w:rsid w:val="00245221"/>
    <w:rsid w:val="00245ACB"/>
    <w:rsid w:val="00247D4B"/>
    <w:rsid w:val="00253171"/>
    <w:rsid w:val="00281C6C"/>
    <w:rsid w:val="002831F4"/>
    <w:rsid w:val="0029123A"/>
    <w:rsid w:val="002933BD"/>
    <w:rsid w:val="00294029"/>
    <w:rsid w:val="00297E29"/>
    <w:rsid w:val="002A6A55"/>
    <w:rsid w:val="002C1565"/>
    <w:rsid w:val="002D4A9C"/>
    <w:rsid w:val="002F6DED"/>
    <w:rsid w:val="00301F50"/>
    <w:rsid w:val="00304673"/>
    <w:rsid w:val="00305C80"/>
    <w:rsid w:val="00307421"/>
    <w:rsid w:val="00317F9A"/>
    <w:rsid w:val="0033140E"/>
    <w:rsid w:val="00333FB0"/>
    <w:rsid w:val="00355D2D"/>
    <w:rsid w:val="00366CF6"/>
    <w:rsid w:val="0037093C"/>
    <w:rsid w:val="00381344"/>
    <w:rsid w:val="003B6929"/>
    <w:rsid w:val="003E3987"/>
    <w:rsid w:val="00401669"/>
    <w:rsid w:val="00407931"/>
    <w:rsid w:val="00411C71"/>
    <w:rsid w:val="00421226"/>
    <w:rsid w:val="00421BB3"/>
    <w:rsid w:val="00432C7B"/>
    <w:rsid w:val="00436A9B"/>
    <w:rsid w:val="00436BCB"/>
    <w:rsid w:val="00440E43"/>
    <w:rsid w:val="004651D2"/>
    <w:rsid w:val="00476467"/>
    <w:rsid w:val="00490900"/>
    <w:rsid w:val="00492B54"/>
    <w:rsid w:val="004A3A16"/>
    <w:rsid w:val="004B06D6"/>
    <w:rsid w:val="004B47B7"/>
    <w:rsid w:val="004C1CAE"/>
    <w:rsid w:val="004C7329"/>
    <w:rsid w:val="004D537E"/>
    <w:rsid w:val="004E2C9B"/>
    <w:rsid w:val="004E7BA0"/>
    <w:rsid w:val="004F5435"/>
    <w:rsid w:val="0051619C"/>
    <w:rsid w:val="00524423"/>
    <w:rsid w:val="00540F40"/>
    <w:rsid w:val="00547D8D"/>
    <w:rsid w:val="005572D4"/>
    <w:rsid w:val="0055777F"/>
    <w:rsid w:val="00562316"/>
    <w:rsid w:val="00564E1B"/>
    <w:rsid w:val="005B0559"/>
    <w:rsid w:val="005E3053"/>
    <w:rsid w:val="005E30AE"/>
    <w:rsid w:val="005E3AE2"/>
    <w:rsid w:val="005E4357"/>
    <w:rsid w:val="005E5ADD"/>
    <w:rsid w:val="005F48DA"/>
    <w:rsid w:val="005F4A9C"/>
    <w:rsid w:val="005F6A48"/>
    <w:rsid w:val="00601D56"/>
    <w:rsid w:val="006032A2"/>
    <w:rsid w:val="00604094"/>
    <w:rsid w:val="00604313"/>
    <w:rsid w:val="00616593"/>
    <w:rsid w:val="00617946"/>
    <w:rsid w:val="0062281A"/>
    <w:rsid w:val="00642B63"/>
    <w:rsid w:val="00666C8A"/>
    <w:rsid w:val="00670A91"/>
    <w:rsid w:val="0067186A"/>
    <w:rsid w:val="00681551"/>
    <w:rsid w:val="006A44CE"/>
    <w:rsid w:val="006A7BC7"/>
    <w:rsid w:val="006B21DC"/>
    <w:rsid w:val="006B6B67"/>
    <w:rsid w:val="006E4EF2"/>
    <w:rsid w:val="006F2583"/>
    <w:rsid w:val="007101F7"/>
    <w:rsid w:val="00710AB0"/>
    <w:rsid w:val="00717FFA"/>
    <w:rsid w:val="0072475B"/>
    <w:rsid w:val="007271F1"/>
    <w:rsid w:val="00727A86"/>
    <w:rsid w:val="00741B45"/>
    <w:rsid w:val="007527F3"/>
    <w:rsid w:val="00756C21"/>
    <w:rsid w:val="00763D8B"/>
    <w:rsid w:val="0077514E"/>
    <w:rsid w:val="0078680D"/>
    <w:rsid w:val="007A69D5"/>
    <w:rsid w:val="007C3693"/>
    <w:rsid w:val="007D1046"/>
    <w:rsid w:val="007E2FF9"/>
    <w:rsid w:val="007E7572"/>
    <w:rsid w:val="00813101"/>
    <w:rsid w:val="008165DC"/>
    <w:rsid w:val="00816ACA"/>
    <w:rsid w:val="008379A5"/>
    <w:rsid w:val="00854B92"/>
    <w:rsid w:val="008560CC"/>
    <w:rsid w:val="008566A6"/>
    <w:rsid w:val="00860FF3"/>
    <w:rsid w:val="00871A61"/>
    <w:rsid w:val="008732AA"/>
    <w:rsid w:val="008931FD"/>
    <w:rsid w:val="0089463B"/>
    <w:rsid w:val="0089717B"/>
    <w:rsid w:val="00897ED5"/>
    <w:rsid w:val="008A5EFC"/>
    <w:rsid w:val="008C0364"/>
    <w:rsid w:val="008D0CAA"/>
    <w:rsid w:val="008F1ABC"/>
    <w:rsid w:val="00900C4E"/>
    <w:rsid w:val="00903A6D"/>
    <w:rsid w:val="00903E03"/>
    <w:rsid w:val="00904D32"/>
    <w:rsid w:val="00905F11"/>
    <w:rsid w:val="00906C34"/>
    <w:rsid w:val="00922D59"/>
    <w:rsid w:val="00925343"/>
    <w:rsid w:val="00931AF6"/>
    <w:rsid w:val="00932C14"/>
    <w:rsid w:val="00935A20"/>
    <w:rsid w:val="00940499"/>
    <w:rsid w:val="0094173E"/>
    <w:rsid w:val="00942D0B"/>
    <w:rsid w:val="00945C3A"/>
    <w:rsid w:val="00974513"/>
    <w:rsid w:val="00975D06"/>
    <w:rsid w:val="00976083"/>
    <w:rsid w:val="009802A7"/>
    <w:rsid w:val="00993A49"/>
    <w:rsid w:val="009A218D"/>
    <w:rsid w:val="009A6654"/>
    <w:rsid w:val="009B79A3"/>
    <w:rsid w:val="009D22B7"/>
    <w:rsid w:val="009F46DB"/>
    <w:rsid w:val="00A10122"/>
    <w:rsid w:val="00A2428F"/>
    <w:rsid w:val="00A265B5"/>
    <w:rsid w:val="00A279F2"/>
    <w:rsid w:val="00A42D1C"/>
    <w:rsid w:val="00A45EF5"/>
    <w:rsid w:val="00A45FE5"/>
    <w:rsid w:val="00A56814"/>
    <w:rsid w:val="00A7476D"/>
    <w:rsid w:val="00A7502D"/>
    <w:rsid w:val="00A85732"/>
    <w:rsid w:val="00A905D0"/>
    <w:rsid w:val="00A965A0"/>
    <w:rsid w:val="00AA51F6"/>
    <w:rsid w:val="00AC141D"/>
    <w:rsid w:val="00AC28AD"/>
    <w:rsid w:val="00AC622D"/>
    <w:rsid w:val="00AC7A48"/>
    <w:rsid w:val="00AC7C0B"/>
    <w:rsid w:val="00AD0DE2"/>
    <w:rsid w:val="00AD2763"/>
    <w:rsid w:val="00AE2D2C"/>
    <w:rsid w:val="00AE371E"/>
    <w:rsid w:val="00B03004"/>
    <w:rsid w:val="00B0644B"/>
    <w:rsid w:val="00B1216B"/>
    <w:rsid w:val="00B15EBD"/>
    <w:rsid w:val="00B1610D"/>
    <w:rsid w:val="00B16C6E"/>
    <w:rsid w:val="00B25B23"/>
    <w:rsid w:val="00B305EE"/>
    <w:rsid w:val="00B33BCE"/>
    <w:rsid w:val="00B52414"/>
    <w:rsid w:val="00B53BDF"/>
    <w:rsid w:val="00B66E73"/>
    <w:rsid w:val="00B93939"/>
    <w:rsid w:val="00BA2D0A"/>
    <w:rsid w:val="00BA302F"/>
    <w:rsid w:val="00BB3C7A"/>
    <w:rsid w:val="00BC7D74"/>
    <w:rsid w:val="00BD0DE2"/>
    <w:rsid w:val="00BD195D"/>
    <w:rsid w:val="00BD42B8"/>
    <w:rsid w:val="00BD6E0A"/>
    <w:rsid w:val="00C22AB0"/>
    <w:rsid w:val="00C62CC5"/>
    <w:rsid w:val="00C72AEC"/>
    <w:rsid w:val="00C81E37"/>
    <w:rsid w:val="00C91E4C"/>
    <w:rsid w:val="00C92092"/>
    <w:rsid w:val="00CC3856"/>
    <w:rsid w:val="00CD1D8B"/>
    <w:rsid w:val="00CD780F"/>
    <w:rsid w:val="00CE3DA9"/>
    <w:rsid w:val="00CF1D80"/>
    <w:rsid w:val="00CF4C8F"/>
    <w:rsid w:val="00D07678"/>
    <w:rsid w:val="00D07B35"/>
    <w:rsid w:val="00D1606E"/>
    <w:rsid w:val="00D201BA"/>
    <w:rsid w:val="00D31B75"/>
    <w:rsid w:val="00D42118"/>
    <w:rsid w:val="00D5176C"/>
    <w:rsid w:val="00D51F2A"/>
    <w:rsid w:val="00D55A17"/>
    <w:rsid w:val="00D60B2E"/>
    <w:rsid w:val="00D70AFE"/>
    <w:rsid w:val="00D71D27"/>
    <w:rsid w:val="00D8542A"/>
    <w:rsid w:val="00D96BEF"/>
    <w:rsid w:val="00DA1626"/>
    <w:rsid w:val="00DA796B"/>
    <w:rsid w:val="00DB0738"/>
    <w:rsid w:val="00DC1525"/>
    <w:rsid w:val="00DC27CF"/>
    <w:rsid w:val="00DC32C8"/>
    <w:rsid w:val="00DC4A06"/>
    <w:rsid w:val="00DD4B19"/>
    <w:rsid w:val="00DD4D48"/>
    <w:rsid w:val="00DD7009"/>
    <w:rsid w:val="00DF3C25"/>
    <w:rsid w:val="00DF7A1F"/>
    <w:rsid w:val="00E0056B"/>
    <w:rsid w:val="00E06FC0"/>
    <w:rsid w:val="00E1213F"/>
    <w:rsid w:val="00E32641"/>
    <w:rsid w:val="00E32680"/>
    <w:rsid w:val="00E36ACB"/>
    <w:rsid w:val="00E40C60"/>
    <w:rsid w:val="00E56A28"/>
    <w:rsid w:val="00E5723E"/>
    <w:rsid w:val="00E757DC"/>
    <w:rsid w:val="00E7622B"/>
    <w:rsid w:val="00E85133"/>
    <w:rsid w:val="00EB113B"/>
    <w:rsid w:val="00ED158A"/>
    <w:rsid w:val="00EF2A7B"/>
    <w:rsid w:val="00EF68C6"/>
    <w:rsid w:val="00F046AC"/>
    <w:rsid w:val="00F13DD1"/>
    <w:rsid w:val="00F14D4A"/>
    <w:rsid w:val="00F17EA3"/>
    <w:rsid w:val="00F3311D"/>
    <w:rsid w:val="00F3479B"/>
    <w:rsid w:val="00F51696"/>
    <w:rsid w:val="00F532B2"/>
    <w:rsid w:val="00F5721F"/>
    <w:rsid w:val="00F57585"/>
    <w:rsid w:val="00F66A35"/>
    <w:rsid w:val="00F83462"/>
    <w:rsid w:val="00F83C0B"/>
    <w:rsid w:val="00F91891"/>
    <w:rsid w:val="00FB08C8"/>
    <w:rsid w:val="00FB18DB"/>
    <w:rsid w:val="00FC1923"/>
    <w:rsid w:val="00FC5B25"/>
    <w:rsid w:val="00FE08DA"/>
    <w:rsid w:val="00FF3F5A"/>
    <w:rsid w:val="0407ED21"/>
    <w:rsid w:val="0759C439"/>
    <w:rsid w:val="081DD4FE"/>
    <w:rsid w:val="1B6CEA8F"/>
    <w:rsid w:val="2D7D9C46"/>
    <w:rsid w:val="3730EA45"/>
    <w:rsid w:val="3A789BD5"/>
    <w:rsid w:val="41919676"/>
    <w:rsid w:val="452300AD"/>
    <w:rsid w:val="48106964"/>
    <w:rsid w:val="54DFF387"/>
    <w:rsid w:val="571D6F4D"/>
    <w:rsid w:val="6355EDD2"/>
    <w:rsid w:val="68D3F8AD"/>
    <w:rsid w:val="6AD4D296"/>
    <w:rsid w:val="7000EBA7"/>
    <w:rsid w:val="735F54FD"/>
    <w:rsid w:val="73E417E6"/>
    <w:rsid w:val="77A1DB2B"/>
    <w:rsid w:val="7B74B6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D79812-E478-4F18-B3AF-ED9984E2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905F1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DF3C25"/>
    <w:pPr>
      <w:numPr>
        <w:numId w:val="23"/>
      </w:numPr>
      <w:spacing w:before="120" w:after="120"/>
      <w:ind w:left="1134"/>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85133"/>
    <w:pPr>
      <w:numPr>
        <w:numId w:val="12"/>
      </w:numPr>
      <w:spacing w:before="360" w:line="269" w:lineRule="auto"/>
      <w:ind w:left="709" w:hanging="709"/>
    </w:pPr>
    <w:rPr>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A265B5"/>
    <w:pPr>
      <w:numPr>
        <w:ilvl w:val="1"/>
        <w:numId w:val="12"/>
      </w:numPr>
    </w:pPr>
    <w:rPr>
      <w:color w:val="000000"/>
    </w:rPr>
  </w:style>
  <w:style w:type="paragraph" w:customStyle="1" w:styleId="EPMNumberedSubheading2">
    <w:name w:val="EPM Numbered Subheading 2"/>
    <w:basedOn w:val="EPMSubheading"/>
    <w:link w:val="EPMNumberedSubheading2Char"/>
    <w:rsid w:val="00EB113B"/>
    <w:pPr>
      <w:numPr>
        <w:ilvl w:val="2"/>
        <w:numId w:val="12"/>
      </w:numPr>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A265B5"/>
    <w:rPr>
      <w:rFonts w:ascii="Avenir Next LT Pro Demi" w:hAnsi="Avenir Next LT Pro Demi" w:cs="Arial"/>
      <w:color w:val="000000"/>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TOC3">
    <w:name w:val="toc 3"/>
    <w:basedOn w:val="Normal"/>
    <w:next w:val="Normal"/>
    <w:autoRedefine/>
    <w:uiPriority w:val="39"/>
    <w:unhideWhenUsed/>
    <w:rsid w:val="00094D9E"/>
    <w:pPr>
      <w:spacing w:after="100"/>
      <w:ind w:left="480"/>
    </w:pPr>
  </w:style>
  <w:style w:type="paragraph" w:customStyle="1" w:styleId="Hyperlinks">
    <w:name w:val="Hyperlinks"/>
    <w:basedOn w:val="Normal"/>
    <w:link w:val="HyperlinksChar"/>
    <w:qFormat/>
    <w:rsid w:val="00317F9A"/>
    <w:pPr>
      <w:spacing w:after="200" w:line="276" w:lineRule="auto"/>
      <w:ind w:left="567"/>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317F9A"/>
    <w:rPr>
      <w:rFonts w:cstheme="minorHAnsi"/>
      <w:color w:val="1381BE"/>
      <w:sz w:val="22"/>
      <w:szCs w:val="22"/>
    </w:rPr>
  </w:style>
  <w:style w:type="paragraph" w:customStyle="1" w:styleId="Bullets">
    <w:name w:val="Bullets"/>
    <w:basedOn w:val="ListParagraph"/>
    <w:link w:val="BulletsChar"/>
    <w:rsid w:val="0008762F"/>
    <w:pPr>
      <w:numPr>
        <w:numId w:val="15"/>
      </w:numPr>
      <w:spacing w:after="120" w:line="276" w:lineRule="auto"/>
      <w:ind w:left="357" w:hanging="357"/>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08762F"/>
    <w:rPr>
      <w:rFonts w:ascii="Calibri" w:hAnsi="Calibri" w:cstheme="minorHAnsi"/>
      <w:color w:val="2F3033"/>
      <w:sz w:val="22"/>
      <w:szCs w:val="22"/>
    </w:rPr>
  </w:style>
  <w:style w:type="paragraph" w:customStyle="1" w:styleId="Sectionheading">
    <w:name w:val="Section heading"/>
    <w:link w:val="SectionheadingChar"/>
    <w:qFormat/>
    <w:rsid w:val="0008762F"/>
    <w:pPr>
      <w:keepNext/>
      <w:keepLines/>
      <w:numPr>
        <w:numId w:val="14"/>
      </w:numPr>
      <w:spacing w:before="300" w:after="120" w:line="276" w:lineRule="auto"/>
      <w:outlineLvl w:val="1"/>
    </w:pPr>
    <w:rPr>
      <w:rFonts w:ascii="Tahoma" w:eastAsiaTheme="majorEastAsia" w:hAnsi="Tahoma" w:cstheme="minorHAnsi"/>
      <w:bCs/>
      <w:color w:val="FF4874"/>
      <w:sz w:val="28"/>
      <w:szCs w:val="28"/>
    </w:rPr>
  </w:style>
  <w:style w:type="paragraph" w:customStyle="1" w:styleId="Section-Level2">
    <w:name w:val="Section - Level 2"/>
    <w:basedOn w:val="Normal"/>
    <w:link w:val="Section-Level2Char"/>
    <w:qFormat/>
    <w:rsid w:val="0008762F"/>
    <w:pPr>
      <w:numPr>
        <w:ilvl w:val="1"/>
        <w:numId w:val="14"/>
      </w:numPr>
      <w:spacing w:after="200" w:line="276" w:lineRule="auto"/>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08762F"/>
    <w:rPr>
      <w:rFonts w:ascii="Tahoma" w:eastAsiaTheme="majorEastAsia" w:hAnsi="Tahoma" w:cstheme="minorHAnsi"/>
      <w:bCs/>
      <w:color w:val="FF4874"/>
      <w:sz w:val="28"/>
      <w:szCs w:val="28"/>
    </w:rPr>
  </w:style>
  <w:style w:type="paragraph" w:customStyle="1" w:styleId="Section-Level3">
    <w:name w:val="Section - Level 3"/>
    <w:basedOn w:val="Section-Level2"/>
    <w:qFormat/>
    <w:rsid w:val="0008762F"/>
    <w:pPr>
      <w:numPr>
        <w:ilvl w:val="2"/>
      </w:numPr>
    </w:pPr>
  </w:style>
  <w:style w:type="paragraph" w:styleId="ListParagraph">
    <w:name w:val="List Paragraph"/>
    <w:basedOn w:val="Normal"/>
    <w:uiPriority w:val="34"/>
    <w:rsid w:val="0008762F"/>
    <w:pPr>
      <w:ind w:left="720"/>
      <w:contextualSpacing/>
    </w:pPr>
  </w:style>
  <w:style w:type="paragraph" w:customStyle="1" w:styleId="TableHeader">
    <w:name w:val="TableHeader"/>
    <w:basedOn w:val="Normal"/>
    <w:qFormat/>
    <w:rsid w:val="00935A20"/>
    <w:pPr>
      <w:spacing w:line="288" w:lineRule="auto"/>
    </w:pPr>
    <w:rPr>
      <w:rFonts w:eastAsia="Times New Roman" w:cs="Times New Roman"/>
      <w:b/>
      <w:lang w:eastAsia="en-GB"/>
    </w:rPr>
  </w:style>
  <w:style w:type="character" w:customStyle="1" w:styleId="Section-Level2Char">
    <w:name w:val="Section - Level 2 Char"/>
    <w:basedOn w:val="DefaultParagraphFont"/>
    <w:link w:val="Section-Level2"/>
    <w:rsid w:val="00935A20"/>
    <w:rPr>
      <w:rFonts w:cstheme="minorHAnsi"/>
      <w:color w:val="2F3033"/>
      <w:sz w:val="22"/>
      <w:szCs w:val="22"/>
    </w:rPr>
  </w:style>
  <w:style w:type="paragraph" w:styleId="CommentText">
    <w:name w:val="annotation text"/>
    <w:basedOn w:val="Normal"/>
    <w:link w:val="CommentTextChar"/>
    <w:unhideWhenUsed/>
    <w:rsid w:val="00935A20"/>
    <w:pPr>
      <w:spacing w:before="280" w:after="120" w:line="300" w:lineRule="atLeast"/>
    </w:pPr>
    <w:rPr>
      <w:rFonts w:eastAsia="Times New Roman" w:cs="Arial"/>
      <w:sz w:val="20"/>
      <w:szCs w:val="22"/>
    </w:rPr>
  </w:style>
  <w:style w:type="character" w:customStyle="1" w:styleId="CommentTextChar">
    <w:name w:val="Comment Text Char"/>
    <w:basedOn w:val="DefaultParagraphFont"/>
    <w:link w:val="CommentText"/>
    <w:rsid w:val="00935A20"/>
    <w:rPr>
      <w:rFonts w:ascii="Arial" w:eastAsia="Times New Roman" w:hAnsi="Arial" w:cs="Arial"/>
      <w:sz w:val="20"/>
      <w:szCs w:val="22"/>
    </w:rPr>
  </w:style>
  <w:style w:type="character" w:styleId="CommentReference">
    <w:name w:val="annotation reference"/>
    <w:basedOn w:val="DefaultParagraphFont"/>
    <w:uiPriority w:val="99"/>
    <w:semiHidden/>
    <w:unhideWhenUsed/>
    <w:rsid w:val="00935A20"/>
    <w:rPr>
      <w:sz w:val="16"/>
      <w:szCs w:val="16"/>
    </w:rPr>
  </w:style>
  <w:style w:type="character" w:customStyle="1" w:styleId="Heading3Char">
    <w:name w:val="Heading 3 Char"/>
    <w:basedOn w:val="DefaultParagraphFont"/>
    <w:link w:val="Heading3"/>
    <w:uiPriority w:val="9"/>
    <w:semiHidden/>
    <w:rsid w:val="00905F11"/>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741B45"/>
    <w:pPr>
      <w:spacing w:line="259" w:lineRule="auto"/>
      <w:outlineLvl w:val="9"/>
    </w:pPr>
    <w:rPr>
      <w:rFonts w:asciiTheme="majorHAnsi" w:hAnsiTheme="majorHAnsi"/>
      <w:color w:val="2F5496" w:themeColor="accent1" w:themeShade="BF"/>
      <w:lang w:val="en-US"/>
    </w:rPr>
  </w:style>
  <w:style w:type="paragraph" w:styleId="Revision">
    <w:name w:val="Revision"/>
    <w:hidden/>
    <w:uiPriority w:val="99"/>
    <w:semiHidden/>
    <w:rsid w:val="006F2583"/>
    <w:rPr>
      <w:rFonts w:ascii="Arial" w:hAnsi="Arial"/>
    </w:rPr>
  </w:style>
  <w:style w:type="paragraph" w:styleId="CommentSubject">
    <w:name w:val="annotation subject"/>
    <w:basedOn w:val="CommentText"/>
    <w:next w:val="CommentText"/>
    <w:link w:val="CommentSubjectChar"/>
    <w:uiPriority w:val="99"/>
    <w:semiHidden/>
    <w:unhideWhenUsed/>
    <w:rsid w:val="00AC7C0B"/>
    <w:pPr>
      <w:spacing w:before="0" w:after="0" w:line="240" w:lineRule="auto"/>
    </w:pPr>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AC7C0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1548">
      <w:bodyDiv w:val="1"/>
      <w:marLeft w:val="0"/>
      <w:marRight w:val="0"/>
      <w:marTop w:val="0"/>
      <w:marBottom w:val="0"/>
      <w:divBdr>
        <w:top w:val="none" w:sz="0" w:space="0" w:color="auto"/>
        <w:left w:val="none" w:sz="0" w:space="0" w:color="auto"/>
        <w:bottom w:val="none" w:sz="0" w:space="0" w:color="auto"/>
        <w:right w:val="none" w:sz="0" w:space="0" w:color="auto"/>
      </w:divBdr>
    </w:div>
    <w:div w:id="884873906">
      <w:bodyDiv w:val="1"/>
      <w:marLeft w:val="0"/>
      <w:marRight w:val="0"/>
      <w:marTop w:val="0"/>
      <w:marBottom w:val="0"/>
      <w:divBdr>
        <w:top w:val="none" w:sz="0" w:space="0" w:color="auto"/>
        <w:left w:val="none" w:sz="0" w:space="0" w:color="auto"/>
        <w:bottom w:val="none" w:sz="0" w:space="0" w:color="auto"/>
        <w:right w:val="none" w:sz="0" w:space="0" w:color="auto"/>
      </w:divBdr>
    </w:div>
    <w:div w:id="9166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pm.co.uk" TargetMode="External"/><Relationship Id="rId2" Type="http://schemas.openxmlformats.org/officeDocument/2006/relationships/customXml" Target="../customXml/item2.xml"/><Relationship Id="rId16" Type="http://schemas.openxmlformats.org/officeDocument/2006/relationships/hyperlink" Target="http://www.epm.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2.xml><?xml version="1.0" encoding="utf-8"?>
<ds:datastoreItem xmlns:ds="http://schemas.openxmlformats.org/officeDocument/2006/customXml" ds:itemID="{8F367F27-DACC-45E8-B662-0143B76B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3591</Words>
  <Characters>20473</Characters>
  <Application>Microsoft Office Word</Application>
  <DocSecurity>0</DocSecurity>
  <Lines>170</Lines>
  <Paragraphs>48</Paragraphs>
  <ScaleCrop>false</ScaleCrop>
  <Company/>
  <LinksUpToDate>false</LinksUpToDate>
  <CharactersWithSpaces>24016</CharactersWithSpaces>
  <SharedDoc>false</SharedDoc>
  <HLinks>
    <vt:vector size="24" baseType="variant">
      <vt:variant>
        <vt:i4>327700</vt:i4>
      </vt:variant>
      <vt:variant>
        <vt:i4>6</vt:i4>
      </vt:variant>
      <vt:variant>
        <vt:i4>0</vt:i4>
      </vt:variant>
      <vt:variant>
        <vt:i4>5</vt:i4>
      </vt:variant>
      <vt:variant>
        <vt:lpwstr>http://www.epm.co.uk/</vt:lpwstr>
      </vt:variant>
      <vt:variant>
        <vt:lpwstr/>
      </vt:variant>
      <vt:variant>
        <vt:i4>327700</vt:i4>
      </vt:variant>
      <vt:variant>
        <vt:i4>3</vt:i4>
      </vt:variant>
      <vt:variant>
        <vt:i4>0</vt:i4>
      </vt:variant>
      <vt:variant>
        <vt:i4>5</vt:i4>
      </vt:variant>
      <vt:variant>
        <vt:lpwstr>http://www.epm.co.uk/</vt:lpwstr>
      </vt:variant>
      <vt:variant>
        <vt:lpwstr/>
      </vt:variant>
      <vt:variant>
        <vt:i4>327700</vt:i4>
      </vt:variant>
      <vt:variant>
        <vt:i4>0</vt:i4>
      </vt:variant>
      <vt:variant>
        <vt:i4>0</vt:i4>
      </vt:variant>
      <vt:variant>
        <vt:i4>5</vt:i4>
      </vt:variant>
      <vt:variant>
        <vt:lpwstr>http://www.epm.co.uk/</vt:lpwstr>
      </vt:variant>
      <vt:variant>
        <vt:lpwstr/>
      </vt:variant>
      <vt:variant>
        <vt:i4>4456510</vt:i4>
      </vt:variant>
      <vt:variant>
        <vt:i4>3</vt:i4>
      </vt:variant>
      <vt:variant>
        <vt:i4>0</vt:i4>
      </vt:variant>
      <vt:variant>
        <vt:i4>5</vt:i4>
      </vt:variant>
      <vt:variant>
        <vt:lpwstr>mailto:epm@epm.co.uk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Annika Guerge</cp:lastModifiedBy>
  <cp:revision>2</cp:revision>
  <dcterms:created xsi:type="dcterms:W3CDTF">2025-08-29T08:39:00Z</dcterms:created>
  <dcterms:modified xsi:type="dcterms:W3CDTF">2025-08-29T08:39:00Z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ies>
</file>